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7854" w14:textId="77777777" w:rsidR="004F7D31" w:rsidRDefault="002860A8">
      <w:pPr>
        <w:jc w:val="center"/>
      </w:pPr>
      <w:r>
        <w:rPr>
          <w:rFonts w:ascii="Aptos Display" w:hAnsi="Aptos Display"/>
          <w:b/>
          <w:color w:val="152342"/>
          <w:sz w:val="56"/>
        </w:rPr>
        <w:t>Sample AI Usage Policy</w:t>
      </w:r>
    </w:p>
    <w:p w14:paraId="01D1C76A" w14:textId="5CEEDB8B" w:rsidR="004F7D31" w:rsidRPr="00CC7326" w:rsidRDefault="00322A12">
      <w:pPr>
        <w:jc w:val="center"/>
        <w:rPr>
          <w:color w:val="545B65"/>
        </w:rPr>
      </w:pPr>
      <w:r>
        <w:rPr>
          <w:color w:val="545B65"/>
        </w:rPr>
        <w:t>Prepared for NAED Digital Center of Excellence publication and member guidance</w:t>
      </w:r>
      <w:r w:rsidR="002E22A9">
        <w:rPr>
          <w:color w:val="545B65"/>
        </w:rPr>
        <w:t>, p</w:t>
      </w:r>
      <w:r w:rsidRPr="00CC7326">
        <w:rPr>
          <w:color w:val="545B65"/>
        </w:rPr>
        <w:t>lease refer to</w:t>
      </w:r>
      <w:r w:rsidR="002860A8" w:rsidRPr="00CC7326">
        <w:rPr>
          <w:color w:val="545B65"/>
        </w:rPr>
        <w:t xml:space="preserve"> </w:t>
      </w:r>
      <w:r w:rsidR="00CC7326" w:rsidRPr="00CC7326">
        <w:rPr>
          <w:color w:val="545B65"/>
        </w:rPr>
        <w:t>NAED PowerShift® - AI Usage Policy Training and Governance</w:t>
      </w:r>
    </w:p>
    <w:p w14:paraId="42042E13" w14:textId="785E19BF" w:rsidR="00B810C8" w:rsidRDefault="00CC7326">
      <w:pPr>
        <w:jc w:val="center"/>
      </w:pPr>
      <w:r>
        <w:rPr>
          <w:color w:val="545B65"/>
          <w:sz w:val="19"/>
        </w:rPr>
        <w:t xml:space="preserve">Scott A. Wagner | Director of Industry Transformation | NAED | </w:t>
      </w:r>
      <w:hyperlink r:id="rId8" w:history="1">
        <w:r w:rsidRPr="004253AD">
          <w:rPr>
            <w:rStyle w:val="Hyperlink"/>
            <w:sz w:val="19"/>
          </w:rPr>
          <w:t>swagner@naed.org</w:t>
        </w:r>
      </w:hyperlink>
      <w:r>
        <w:rPr>
          <w:color w:val="545B65"/>
          <w:sz w:val="19"/>
        </w:rPr>
        <w:t xml:space="preserve"> </w:t>
      </w:r>
    </w:p>
    <w:p w14:paraId="6B398599" w14:textId="77777777" w:rsidR="00B810C8" w:rsidRDefault="00B810C8" w:rsidP="00B810C8">
      <w:pPr>
        <w:spacing w:after="80"/>
      </w:pPr>
      <w:r>
        <w:rPr>
          <w:b/>
          <w:color w:val="921E30"/>
        </w:rPr>
        <w:t>Important template note</w:t>
      </w:r>
    </w:p>
    <w:p w14:paraId="7FF784AB" w14:textId="776664D6" w:rsidR="00B810C8" w:rsidRDefault="00B810C8" w:rsidP="00B810C8">
      <w:r>
        <w:rPr>
          <w:sz w:val="19"/>
        </w:rPr>
        <w:t>This sample policy is provided as a practical starting point. It should be reviewed and adapted by each company with its legal, HR, IT/security, data, compliance, and executive leadership teams before adoption. It is not legal advice and should not be treated as a final policy without internal review.</w:t>
      </w:r>
    </w:p>
    <w:tbl>
      <w:tblPr>
        <w:tblStyle w:val="TableGrid"/>
        <w:tblW w:w="0" w:type="auto"/>
        <w:jc w:val="center"/>
        <w:tblLook w:val="04A0" w:firstRow="1" w:lastRow="0" w:firstColumn="1" w:lastColumn="0" w:noHBand="0" w:noVBand="1"/>
      </w:tblPr>
      <w:tblGrid>
        <w:gridCol w:w="2245"/>
        <w:gridCol w:w="7763"/>
      </w:tblGrid>
      <w:tr w:rsidR="00B810C8" w14:paraId="331A0B68" w14:textId="77777777" w:rsidTr="00B810C8">
        <w:trPr>
          <w:jc w:val="center"/>
        </w:trPr>
        <w:tc>
          <w:tcPr>
            <w:tcW w:w="2245" w:type="dxa"/>
            <w:shd w:val="clear" w:color="auto" w:fill="152342"/>
            <w:vAlign w:val="center"/>
          </w:tcPr>
          <w:p w14:paraId="436B0778" w14:textId="1A8DB1EC" w:rsidR="00B810C8" w:rsidRDefault="00B810C8" w:rsidP="00D22DF3">
            <w:pPr>
              <w:spacing w:after="0"/>
            </w:pPr>
            <w:r>
              <w:rPr>
                <w:b/>
                <w:color w:val="FFFFFF"/>
                <w:sz w:val="18"/>
              </w:rPr>
              <w:t>Field</w:t>
            </w:r>
          </w:p>
        </w:tc>
        <w:tc>
          <w:tcPr>
            <w:tcW w:w="7763" w:type="dxa"/>
            <w:shd w:val="clear" w:color="auto" w:fill="152342"/>
            <w:vAlign w:val="center"/>
          </w:tcPr>
          <w:p w14:paraId="7C0A52DE" w14:textId="77777777" w:rsidR="00B810C8" w:rsidRDefault="00B810C8" w:rsidP="00D22DF3">
            <w:pPr>
              <w:spacing w:after="0"/>
            </w:pPr>
            <w:r>
              <w:rPr>
                <w:b/>
                <w:color w:val="FFFFFF"/>
                <w:sz w:val="18"/>
              </w:rPr>
              <w:t>Template entry</w:t>
            </w:r>
          </w:p>
        </w:tc>
      </w:tr>
      <w:tr w:rsidR="00B810C8" w14:paraId="7D87D66B" w14:textId="77777777" w:rsidTr="00B810C8">
        <w:trPr>
          <w:jc w:val="center"/>
        </w:trPr>
        <w:tc>
          <w:tcPr>
            <w:tcW w:w="2245" w:type="dxa"/>
          </w:tcPr>
          <w:p w14:paraId="093458E5" w14:textId="77777777" w:rsidR="00B810C8" w:rsidRDefault="00B810C8" w:rsidP="00D22DF3">
            <w:pPr>
              <w:spacing w:after="0"/>
            </w:pPr>
            <w:r>
              <w:rPr>
                <w:sz w:val="18"/>
              </w:rPr>
              <w:t>Policy owner</w:t>
            </w:r>
          </w:p>
        </w:tc>
        <w:tc>
          <w:tcPr>
            <w:tcW w:w="7763" w:type="dxa"/>
          </w:tcPr>
          <w:p w14:paraId="384300F0" w14:textId="77777777" w:rsidR="00B810C8" w:rsidRDefault="00B810C8" w:rsidP="00D22DF3">
            <w:pPr>
              <w:spacing w:after="0"/>
            </w:pPr>
            <w:r>
              <w:rPr>
                <w:sz w:val="18"/>
              </w:rPr>
              <w:t>[AI policy owner, e.g., CIO, COO, General Counsel, AI Governance Lead]</w:t>
            </w:r>
          </w:p>
        </w:tc>
      </w:tr>
      <w:tr w:rsidR="00B810C8" w14:paraId="6F631713" w14:textId="77777777" w:rsidTr="00B810C8">
        <w:trPr>
          <w:jc w:val="center"/>
        </w:trPr>
        <w:tc>
          <w:tcPr>
            <w:tcW w:w="2245" w:type="dxa"/>
          </w:tcPr>
          <w:p w14:paraId="5F39C1E7" w14:textId="77777777" w:rsidR="00B810C8" w:rsidRDefault="00B810C8" w:rsidP="00D22DF3">
            <w:pPr>
              <w:spacing w:after="0"/>
            </w:pPr>
            <w:r>
              <w:rPr>
                <w:sz w:val="18"/>
              </w:rPr>
              <w:t>Executive sponsor</w:t>
            </w:r>
          </w:p>
        </w:tc>
        <w:tc>
          <w:tcPr>
            <w:tcW w:w="7763" w:type="dxa"/>
          </w:tcPr>
          <w:p w14:paraId="45D09EA6" w14:textId="77777777" w:rsidR="00B810C8" w:rsidRDefault="00B810C8" w:rsidP="00D22DF3">
            <w:pPr>
              <w:spacing w:after="0"/>
            </w:pPr>
            <w:r>
              <w:rPr>
                <w:sz w:val="18"/>
              </w:rPr>
              <w:t>[executive sponsor]</w:t>
            </w:r>
          </w:p>
        </w:tc>
      </w:tr>
      <w:tr w:rsidR="00B810C8" w14:paraId="1FA9BBA9" w14:textId="77777777" w:rsidTr="00B810C8">
        <w:trPr>
          <w:jc w:val="center"/>
        </w:trPr>
        <w:tc>
          <w:tcPr>
            <w:tcW w:w="2245" w:type="dxa"/>
          </w:tcPr>
          <w:p w14:paraId="47792CC3" w14:textId="77777777" w:rsidR="00B810C8" w:rsidRDefault="00B810C8" w:rsidP="00D22DF3">
            <w:pPr>
              <w:spacing w:after="0"/>
            </w:pPr>
            <w:r>
              <w:rPr>
                <w:sz w:val="18"/>
              </w:rPr>
              <w:t>Effective date</w:t>
            </w:r>
          </w:p>
        </w:tc>
        <w:tc>
          <w:tcPr>
            <w:tcW w:w="7763" w:type="dxa"/>
          </w:tcPr>
          <w:p w14:paraId="0EB70E3C" w14:textId="77777777" w:rsidR="00B810C8" w:rsidRDefault="00B810C8" w:rsidP="00D22DF3">
            <w:pPr>
              <w:spacing w:after="0"/>
            </w:pPr>
            <w:r>
              <w:rPr>
                <w:sz w:val="18"/>
              </w:rPr>
              <w:t>[effective date]</w:t>
            </w:r>
          </w:p>
        </w:tc>
      </w:tr>
      <w:tr w:rsidR="00B810C8" w14:paraId="1FAA408A" w14:textId="77777777" w:rsidTr="00B810C8">
        <w:trPr>
          <w:jc w:val="center"/>
        </w:trPr>
        <w:tc>
          <w:tcPr>
            <w:tcW w:w="2245" w:type="dxa"/>
          </w:tcPr>
          <w:p w14:paraId="4D910E26" w14:textId="77777777" w:rsidR="00B810C8" w:rsidRDefault="00B810C8" w:rsidP="00D22DF3">
            <w:pPr>
              <w:spacing w:after="0"/>
            </w:pPr>
            <w:r>
              <w:rPr>
                <w:sz w:val="18"/>
              </w:rPr>
              <w:t>Review cadence</w:t>
            </w:r>
          </w:p>
        </w:tc>
        <w:tc>
          <w:tcPr>
            <w:tcW w:w="7763" w:type="dxa"/>
          </w:tcPr>
          <w:p w14:paraId="50D893C8" w14:textId="77777777" w:rsidR="00B810C8" w:rsidRDefault="00B810C8" w:rsidP="00D22DF3">
            <w:pPr>
              <w:spacing w:after="0"/>
            </w:pPr>
            <w:r>
              <w:rPr>
                <w:sz w:val="18"/>
              </w:rPr>
              <w:t>Quarterly during the first year, then at least annually or when tools, risks, regulations, or business processes materially change</w:t>
            </w:r>
          </w:p>
        </w:tc>
      </w:tr>
      <w:tr w:rsidR="00B810C8" w14:paraId="7F1E0623" w14:textId="77777777" w:rsidTr="00B810C8">
        <w:trPr>
          <w:jc w:val="center"/>
        </w:trPr>
        <w:tc>
          <w:tcPr>
            <w:tcW w:w="2245" w:type="dxa"/>
          </w:tcPr>
          <w:p w14:paraId="617AC2A6" w14:textId="77777777" w:rsidR="00B810C8" w:rsidRDefault="00B810C8" w:rsidP="00D22DF3">
            <w:pPr>
              <w:spacing w:after="0"/>
            </w:pPr>
            <w:r>
              <w:rPr>
                <w:sz w:val="18"/>
              </w:rPr>
              <w:t>Applies to</w:t>
            </w:r>
          </w:p>
        </w:tc>
        <w:tc>
          <w:tcPr>
            <w:tcW w:w="7763" w:type="dxa"/>
          </w:tcPr>
          <w:p w14:paraId="3D8A5650" w14:textId="094F32A9" w:rsidR="00B810C8" w:rsidRDefault="00B810C8" w:rsidP="00D22DF3">
            <w:pPr>
              <w:spacing w:after="0"/>
            </w:pPr>
            <w:r>
              <w:rPr>
                <w:sz w:val="18"/>
              </w:rPr>
              <w:t xml:space="preserve">All employees, contractors, temporary staff, consultants, and any third parties using AI tools on behalf of </w:t>
            </w:r>
            <w:r w:rsidR="00E86DAF" w:rsidRPr="00E86DAF">
              <w:rPr>
                <w:b/>
                <w:color w:val="FF0000"/>
                <w:sz w:val="18"/>
              </w:rPr>
              <w:t>[Your Company Name]</w:t>
            </w:r>
          </w:p>
        </w:tc>
      </w:tr>
    </w:tbl>
    <w:p w14:paraId="4B5EDD97" w14:textId="3EB1C024" w:rsidR="004F7D31" w:rsidRDefault="004F7D31"/>
    <w:sdt>
      <w:sdtPr>
        <w:rPr>
          <w:rFonts w:ascii="Aptos" w:eastAsiaTheme="minorEastAsia" w:hAnsi="Aptos" w:cstheme="minorBidi"/>
          <w:b w:val="0"/>
          <w:bCs w:val="0"/>
          <w:color w:val="auto"/>
          <w:sz w:val="21"/>
          <w:szCs w:val="22"/>
        </w:rPr>
        <w:id w:val="1497148270"/>
        <w:docPartObj>
          <w:docPartGallery w:val="Table of Contents"/>
          <w:docPartUnique/>
        </w:docPartObj>
      </w:sdtPr>
      <w:sdtEndPr>
        <w:rPr>
          <w:noProof/>
        </w:rPr>
      </w:sdtEndPr>
      <w:sdtContent>
        <w:p w14:paraId="01E7B349" w14:textId="4654571B" w:rsidR="00B810C8" w:rsidRDefault="00B810C8">
          <w:pPr>
            <w:pStyle w:val="TOCHeading"/>
          </w:pPr>
          <w:r>
            <w:t>Contents</w:t>
          </w:r>
        </w:p>
        <w:p w14:paraId="4C47D3F7" w14:textId="37EF9D48" w:rsidR="002E22A9" w:rsidRDefault="00B810C8">
          <w:pPr>
            <w:pStyle w:val="TOC1"/>
            <w:tabs>
              <w:tab w:val="right" w:leader="dot" w:pos="9782"/>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33198757" w:history="1">
            <w:r w:rsidR="002E22A9" w:rsidRPr="00365111">
              <w:rPr>
                <w:rStyle w:val="Hyperlink"/>
                <w:noProof/>
              </w:rPr>
              <w:t>Purpose</w:t>
            </w:r>
            <w:r w:rsidR="002E22A9">
              <w:rPr>
                <w:noProof/>
                <w:webHidden/>
              </w:rPr>
              <w:tab/>
            </w:r>
            <w:r w:rsidR="002E22A9">
              <w:rPr>
                <w:noProof/>
                <w:webHidden/>
              </w:rPr>
              <w:fldChar w:fldCharType="begin"/>
            </w:r>
            <w:r w:rsidR="002E22A9">
              <w:rPr>
                <w:noProof/>
                <w:webHidden/>
              </w:rPr>
              <w:instrText xml:space="preserve"> PAGEREF _Toc233198757 \h </w:instrText>
            </w:r>
            <w:r w:rsidR="002E22A9">
              <w:rPr>
                <w:noProof/>
                <w:webHidden/>
              </w:rPr>
            </w:r>
            <w:r w:rsidR="002E22A9">
              <w:rPr>
                <w:noProof/>
                <w:webHidden/>
              </w:rPr>
              <w:fldChar w:fldCharType="separate"/>
            </w:r>
            <w:r w:rsidR="002E22A9">
              <w:rPr>
                <w:noProof/>
                <w:webHidden/>
              </w:rPr>
              <w:t>2</w:t>
            </w:r>
            <w:r w:rsidR="002E22A9">
              <w:rPr>
                <w:noProof/>
                <w:webHidden/>
              </w:rPr>
              <w:fldChar w:fldCharType="end"/>
            </w:r>
          </w:hyperlink>
        </w:p>
        <w:p w14:paraId="7A9B7AAD" w14:textId="68FB3055"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58" w:history="1">
            <w:r w:rsidRPr="00365111">
              <w:rPr>
                <w:rStyle w:val="Hyperlink"/>
                <w:noProof/>
              </w:rPr>
              <w:t>Scope</w:t>
            </w:r>
            <w:r>
              <w:rPr>
                <w:noProof/>
                <w:webHidden/>
              </w:rPr>
              <w:tab/>
            </w:r>
            <w:r>
              <w:rPr>
                <w:noProof/>
                <w:webHidden/>
              </w:rPr>
              <w:fldChar w:fldCharType="begin"/>
            </w:r>
            <w:r>
              <w:rPr>
                <w:noProof/>
                <w:webHidden/>
              </w:rPr>
              <w:instrText xml:space="preserve"> PAGEREF _Toc233198758 \h </w:instrText>
            </w:r>
            <w:r>
              <w:rPr>
                <w:noProof/>
                <w:webHidden/>
              </w:rPr>
            </w:r>
            <w:r>
              <w:rPr>
                <w:noProof/>
                <w:webHidden/>
              </w:rPr>
              <w:fldChar w:fldCharType="separate"/>
            </w:r>
            <w:r>
              <w:rPr>
                <w:noProof/>
                <w:webHidden/>
              </w:rPr>
              <w:t>2</w:t>
            </w:r>
            <w:r>
              <w:rPr>
                <w:noProof/>
                <w:webHidden/>
              </w:rPr>
              <w:fldChar w:fldCharType="end"/>
            </w:r>
          </w:hyperlink>
        </w:p>
        <w:p w14:paraId="39BE37C8" w14:textId="75039197"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59" w:history="1">
            <w:r w:rsidRPr="00365111">
              <w:rPr>
                <w:rStyle w:val="Hyperlink"/>
                <w:noProof/>
              </w:rPr>
              <w:t>Guiding Principles</w:t>
            </w:r>
            <w:r>
              <w:rPr>
                <w:noProof/>
                <w:webHidden/>
              </w:rPr>
              <w:tab/>
            </w:r>
            <w:r>
              <w:rPr>
                <w:noProof/>
                <w:webHidden/>
              </w:rPr>
              <w:fldChar w:fldCharType="begin"/>
            </w:r>
            <w:r>
              <w:rPr>
                <w:noProof/>
                <w:webHidden/>
              </w:rPr>
              <w:instrText xml:space="preserve"> PAGEREF _Toc233198759 \h </w:instrText>
            </w:r>
            <w:r>
              <w:rPr>
                <w:noProof/>
                <w:webHidden/>
              </w:rPr>
            </w:r>
            <w:r>
              <w:rPr>
                <w:noProof/>
                <w:webHidden/>
              </w:rPr>
              <w:fldChar w:fldCharType="separate"/>
            </w:r>
            <w:r>
              <w:rPr>
                <w:noProof/>
                <w:webHidden/>
              </w:rPr>
              <w:t>2</w:t>
            </w:r>
            <w:r>
              <w:rPr>
                <w:noProof/>
                <w:webHidden/>
              </w:rPr>
              <w:fldChar w:fldCharType="end"/>
            </w:r>
          </w:hyperlink>
        </w:p>
        <w:p w14:paraId="516ED417" w14:textId="721C630E"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0" w:history="1">
            <w:r w:rsidRPr="00365111">
              <w:rPr>
                <w:rStyle w:val="Hyperlink"/>
                <w:noProof/>
              </w:rPr>
              <w:t>Roles and Responsibilities</w:t>
            </w:r>
            <w:r>
              <w:rPr>
                <w:noProof/>
                <w:webHidden/>
              </w:rPr>
              <w:tab/>
            </w:r>
            <w:r>
              <w:rPr>
                <w:noProof/>
                <w:webHidden/>
              </w:rPr>
              <w:fldChar w:fldCharType="begin"/>
            </w:r>
            <w:r>
              <w:rPr>
                <w:noProof/>
                <w:webHidden/>
              </w:rPr>
              <w:instrText xml:space="preserve"> PAGEREF _Toc233198760 \h </w:instrText>
            </w:r>
            <w:r>
              <w:rPr>
                <w:noProof/>
                <w:webHidden/>
              </w:rPr>
            </w:r>
            <w:r>
              <w:rPr>
                <w:noProof/>
                <w:webHidden/>
              </w:rPr>
              <w:fldChar w:fldCharType="separate"/>
            </w:r>
            <w:r>
              <w:rPr>
                <w:noProof/>
                <w:webHidden/>
              </w:rPr>
              <w:t>3</w:t>
            </w:r>
            <w:r>
              <w:rPr>
                <w:noProof/>
                <w:webHidden/>
              </w:rPr>
              <w:fldChar w:fldCharType="end"/>
            </w:r>
          </w:hyperlink>
        </w:p>
        <w:p w14:paraId="23CB476E" w14:textId="1620EA6D"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1" w:history="1">
            <w:r w:rsidRPr="00365111">
              <w:rPr>
                <w:rStyle w:val="Hyperlink"/>
                <w:noProof/>
              </w:rPr>
              <w:t>Approved Tools and Access</w:t>
            </w:r>
            <w:r>
              <w:rPr>
                <w:noProof/>
                <w:webHidden/>
              </w:rPr>
              <w:tab/>
            </w:r>
            <w:r>
              <w:rPr>
                <w:noProof/>
                <w:webHidden/>
              </w:rPr>
              <w:fldChar w:fldCharType="begin"/>
            </w:r>
            <w:r>
              <w:rPr>
                <w:noProof/>
                <w:webHidden/>
              </w:rPr>
              <w:instrText xml:space="preserve"> PAGEREF _Toc233198761 \h </w:instrText>
            </w:r>
            <w:r>
              <w:rPr>
                <w:noProof/>
                <w:webHidden/>
              </w:rPr>
            </w:r>
            <w:r>
              <w:rPr>
                <w:noProof/>
                <w:webHidden/>
              </w:rPr>
              <w:fldChar w:fldCharType="separate"/>
            </w:r>
            <w:r>
              <w:rPr>
                <w:noProof/>
                <w:webHidden/>
              </w:rPr>
              <w:t>3</w:t>
            </w:r>
            <w:r>
              <w:rPr>
                <w:noProof/>
                <w:webHidden/>
              </w:rPr>
              <w:fldChar w:fldCharType="end"/>
            </w:r>
          </w:hyperlink>
        </w:p>
        <w:p w14:paraId="48800EF8" w14:textId="06F0450D"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2" w:history="1">
            <w:r w:rsidRPr="00365111">
              <w:rPr>
                <w:rStyle w:val="Hyperlink"/>
                <w:noProof/>
              </w:rPr>
              <w:t>Approved Uses</w:t>
            </w:r>
            <w:r>
              <w:rPr>
                <w:noProof/>
                <w:webHidden/>
              </w:rPr>
              <w:tab/>
            </w:r>
            <w:r>
              <w:rPr>
                <w:noProof/>
                <w:webHidden/>
              </w:rPr>
              <w:fldChar w:fldCharType="begin"/>
            </w:r>
            <w:r>
              <w:rPr>
                <w:noProof/>
                <w:webHidden/>
              </w:rPr>
              <w:instrText xml:space="preserve"> PAGEREF _Toc233198762 \h </w:instrText>
            </w:r>
            <w:r>
              <w:rPr>
                <w:noProof/>
                <w:webHidden/>
              </w:rPr>
            </w:r>
            <w:r>
              <w:rPr>
                <w:noProof/>
                <w:webHidden/>
              </w:rPr>
              <w:fldChar w:fldCharType="separate"/>
            </w:r>
            <w:r>
              <w:rPr>
                <w:noProof/>
                <w:webHidden/>
              </w:rPr>
              <w:t>4</w:t>
            </w:r>
            <w:r>
              <w:rPr>
                <w:noProof/>
                <w:webHidden/>
              </w:rPr>
              <w:fldChar w:fldCharType="end"/>
            </w:r>
          </w:hyperlink>
        </w:p>
        <w:p w14:paraId="73CB08EC" w14:textId="6DF24211"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3" w:history="1">
            <w:r w:rsidRPr="00365111">
              <w:rPr>
                <w:rStyle w:val="Hyperlink"/>
                <w:noProof/>
              </w:rPr>
              <w:t>Restricted and Prohibited Uses</w:t>
            </w:r>
            <w:r>
              <w:rPr>
                <w:noProof/>
                <w:webHidden/>
              </w:rPr>
              <w:tab/>
            </w:r>
            <w:r>
              <w:rPr>
                <w:noProof/>
                <w:webHidden/>
              </w:rPr>
              <w:fldChar w:fldCharType="begin"/>
            </w:r>
            <w:r>
              <w:rPr>
                <w:noProof/>
                <w:webHidden/>
              </w:rPr>
              <w:instrText xml:space="preserve"> PAGEREF _Toc233198763 \h </w:instrText>
            </w:r>
            <w:r>
              <w:rPr>
                <w:noProof/>
                <w:webHidden/>
              </w:rPr>
            </w:r>
            <w:r>
              <w:rPr>
                <w:noProof/>
                <w:webHidden/>
              </w:rPr>
              <w:fldChar w:fldCharType="separate"/>
            </w:r>
            <w:r>
              <w:rPr>
                <w:noProof/>
                <w:webHidden/>
              </w:rPr>
              <w:t>4</w:t>
            </w:r>
            <w:r>
              <w:rPr>
                <w:noProof/>
                <w:webHidden/>
              </w:rPr>
              <w:fldChar w:fldCharType="end"/>
            </w:r>
          </w:hyperlink>
        </w:p>
        <w:p w14:paraId="4F2234DA" w14:textId="27234F79"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4" w:history="1">
            <w:r w:rsidRPr="00365111">
              <w:rPr>
                <w:rStyle w:val="Hyperlink"/>
                <w:noProof/>
              </w:rPr>
              <w:t>Data and Information Boundaries</w:t>
            </w:r>
            <w:r>
              <w:rPr>
                <w:noProof/>
                <w:webHidden/>
              </w:rPr>
              <w:tab/>
            </w:r>
            <w:r>
              <w:rPr>
                <w:noProof/>
                <w:webHidden/>
              </w:rPr>
              <w:fldChar w:fldCharType="begin"/>
            </w:r>
            <w:r>
              <w:rPr>
                <w:noProof/>
                <w:webHidden/>
              </w:rPr>
              <w:instrText xml:space="preserve"> PAGEREF _Toc233198764 \h </w:instrText>
            </w:r>
            <w:r>
              <w:rPr>
                <w:noProof/>
                <w:webHidden/>
              </w:rPr>
            </w:r>
            <w:r>
              <w:rPr>
                <w:noProof/>
                <w:webHidden/>
              </w:rPr>
              <w:fldChar w:fldCharType="separate"/>
            </w:r>
            <w:r>
              <w:rPr>
                <w:noProof/>
                <w:webHidden/>
              </w:rPr>
              <w:t>5</w:t>
            </w:r>
            <w:r>
              <w:rPr>
                <w:noProof/>
                <w:webHidden/>
              </w:rPr>
              <w:fldChar w:fldCharType="end"/>
            </w:r>
          </w:hyperlink>
        </w:p>
        <w:p w14:paraId="6E52776B" w14:textId="4773820F"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5" w:history="1">
            <w:r w:rsidRPr="00365111">
              <w:rPr>
                <w:rStyle w:val="Hyperlink"/>
                <w:noProof/>
              </w:rPr>
              <w:t>Human Review and Accountability</w:t>
            </w:r>
            <w:r>
              <w:rPr>
                <w:noProof/>
                <w:webHidden/>
              </w:rPr>
              <w:tab/>
            </w:r>
            <w:r>
              <w:rPr>
                <w:noProof/>
                <w:webHidden/>
              </w:rPr>
              <w:fldChar w:fldCharType="begin"/>
            </w:r>
            <w:r>
              <w:rPr>
                <w:noProof/>
                <w:webHidden/>
              </w:rPr>
              <w:instrText xml:space="preserve"> PAGEREF _Toc233198765 \h </w:instrText>
            </w:r>
            <w:r>
              <w:rPr>
                <w:noProof/>
                <w:webHidden/>
              </w:rPr>
            </w:r>
            <w:r>
              <w:rPr>
                <w:noProof/>
                <w:webHidden/>
              </w:rPr>
              <w:fldChar w:fldCharType="separate"/>
            </w:r>
            <w:r>
              <w:rPr>
                <w:noProof/>
                <w:webHidden/>
              </w:rPr>
              <w:t>5</w:t>
            </w:r>
            <w:r>
              <w:rPr>
                <w:noProof/>
                <w:webHidden/>
              </w:rPr>
              <w:fldChar w:fldCharType="end"/>
            </w:r>
          </w:hyperlink>
        </w:p>
        <w:p w14:paraId="6CBC371C" w14:textId="0A1DA4C5"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6" w:history="1">
            <w:r w:rsidRPr="00365111">
              <w:rPr>
                <w:rStyle w:val="Hyperlink"/>
                <w:noProof/>
              </w:rPr>
              <w:t>Customer, Supplier, Employee, and Operational Use</w:t>
            </w:r>
            <w:r>
              <w:rPr>
                <w:noProof/>
                <w:webHidden/>
              </w:rPr>
              <w:tab/>
            </w:r>
            <w:r>
              <w:rPr>
                <w:noProof/>
                <w:webHidden/>
              </w:rPr>
              <w:fldChar w:fldCharType="begin"/>
            </w:r>
            <w:r>
              <w:rPr>
                <w:noProof/>
                <w:webHidden/>
              </w:rPr>
              <w:instrText xml:space="preserve"> PAGEREF _Toc233198766 \h </w:instrText>
            </w:r>
            <w:r>
              <w:rPr>
                <w:noProof/>
                <w:webHidden/>
              </w:rPr>
            </w:r>
            <w:r>
              <w:rPr>
                <w:noProof/>
                <w:webHidden/>
              </w:rPr>
              <w:fldChar w:fldCharType="separate"/>
            </w:r>
            <w:r>
              <w:rPr>
                <w:noProof/>
                <w:webHidden/>
              </w:rPr>
              <w:t>6</w:t>
            </w:r>
            <w:r>
              <w:rPr>
                <w:noProof/>
                <w:webHidden/>
              </w:rPr>
              <w:fldChar w:fldCharType="end"/>
            </w:r>
          </w:hyperlink>
        </w:p>
        <w:p w14:paraId="0B9B151A" w14:textId="6AF04ACA"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7" w:history="1">
            <w:r w:rsidRPr="00365111">
              <w:rPr>
                <w:rStyle w:val="Hyperlink"/>
                <w:noProof/>
              </w:rPr>
              <w:t>Prompting, Output Quality, and Work Slop Prevention</w:t>
            </w:r>
            <w:r>
              <w:rPr>
                <w:noProof/>
                <w:webHidden/>
              </w:rPr>
              <w:tab/>
            </w:r>
            <w:r>
              <w:rPr>
                <w:noProof/>
                <w:webHidden/>
              </w:rPr>
              <w:fldChar w:fldCharType="begin"/>
            </w:r>
            <w:r>
              <w:rPr>
                <w:noProof/>
                <w:webHidden/>
              </w:rPr>
              <w:instrText xml:space="preserve"> PAGEREF _Toc233198767 \h </w:instrText>
            </w:r>
            <w:r>
              <w:rPr>
                <w:noProof/>
                <w:webHidden/>
              </w:rPr>
            </w:r>
            <w:r>
              <w:rPr>
                <w:noProof/>
                <w:webHidden/>
              </w:rPr>
              <w:fldChar w:fldCharType="separate"/>
            </w:r>
            <w:r>
              <w:rPr>
                <w:noProof/>
                <w:webHidden/>
              </w:rPr>
              <w:t>6</w:t>
            </w:r>
            <w:r>
              <w:rPr>
                <w:noProof/>
                <w:webHidden/>
              </w:rPr>
              <w:fldChar w:fldCharType="end"/>
            </w:r>
          </w:hyperlink>
        </w:p>
        <w:p w14:paraId="57853786" w14:textId="77998BEE"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8" w:history="1">
            <w:r w:rsidRPr="00365111">
              <w:rPr>
                <w:rStyle w:val="Hyperlink"/>
                <w:noProof/>
              </w:rPr>
              <w:t>Agents, Automation, and System Actions</w:t>
            </w:r>
            <w:r>
              <w:rPr>
                <w:noProof/>
                <w:webHidden/>
              </w:rPr>
              <w:tab/>
            </w:r>
            <w:r>
              <w:rPr>
                <w:noProof/>
                <w:webHidden/>
              </w:rPr>
              <w:fldChar w:fldCharType="begin"/>
            </w:r>
            <w:r>
              <w:rPr>
                <w:noProof/>
                <w:webHidden/>
              </w:rPr>
              <w:instrText xml:space="preserve"> PAGEREF _Toc233198768 \h </w:instrText>
            </w:r>
            <w:r>
              <w:rPr>
                <w:noProof/>
                <w:webHidden/>
              </w:rPr>
            </w:r>
            <w:r>
              <w:rPr>
                <w:noProof/>
                <w:webHidden/>
              </w:rPr>
              <w:fldChar w:fldCharType="separate"/>
            </w:r>
            <w:r>
              <w:rPr>
                <w:noProof/>
                <w:webHidden/>
              </w:rPr>
              <w:t>6</w:t>
            </w:r>
            <w:r>
              <w:rPr>
                <w:noProof/>
                <w:webHidden/>
              </w:rPr>
              <w:fldChar w:fldCharType="end"/>
            </w:r>
          </w:hyperlink>
        </w:p>
        <w:p w14:paraId="2CAFE88C" w14:textId="298B7B21"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69" w:history="1">
            <w:r w:rsidRPr="00365111">
              <w:rPr>
                <w:rStyle w:val="Hyperlink"/>
                <w:noProof/>
              </w:rPr>
              <w:t>Governance, Escalation, and Use-Case Review</w:t>
            </w:r>
            <w:r>
              <w:rPr>
                <w:noProof/>
                <w:webHidden/>
              </w:rPr>
              <w:tab/>
            </w:r>
            <w:r>
              <w:rPr>
                <w:noProof/>
                <w:webHidden/>
              </w:rPr>
              <w:fldChar w:fldCharType="begin"/>
            </w:r>
            <w:r>
              <w:rPr>
                <w:noProof/>
                <w:webHidden/>
              </w:rPr>
              <w:instrText xml:space="preserve"> PAGEREF _Toc233198769 \h </w:instrText>
            </w:r>
            <w:r>
              <w:rPr>
                <w:noProof/>
                <w:webHidden/>
              </w:rPr>
            </w:r>
            <w:r>
              <w:rPr>
                <w:noProof/>
                <w:webHidden/>
              </w:rPr>
              <w:fldChar w:fldCharType="separate"/>
            </w:r>
            <w:r>
              <w:rPr>
                <w:noProof/>
                <w:webHidden/>
              </w:rPr>
              <w:t>7</w:t>
            </w:r>
            <w:r>
              <w:rPr>
                <w:noProof/>
                <w:webHidden/>
              </w:rPr>
              <w:fldChar w:fldCharType="end"/>
            </w:r>
          </w:hyperlink>
        </w:p>
        <w:p w14:paraId="737906AB" w14:textId="70549CFD"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70" w:history="1">
            <w:r w:rsidRPr="00365111">
              <w:rPr>
                <w:rStyle w:val="Hyperlink"/>
                <w:noProof/>
              </w:rPr>
              <w:t>Training, Awareness, and Acknowledgment</w:t>
            </w:r>
            <w:r>
              <w:rPr>
                <w:noProof/>
                <w:webHidden/>
              </w:rPr>
              <w:tab/>
            </w:r>
            <w:r>
              <w:rPr>
                <w:noProof/>
                <w:webHidden/>
              </w:rPr>
              <w:fldChar w:fldCharType="begin"/>
            </w:r>
            <w:r>
              <w:rPr>
                <w:noProof/>
                <w:webHidden/>
              </w:rPr>
              <w:instrText xml:space="preserve"> PAGEREF _Toc233198770 \h </w:instrText>
            </w:r>
            <w:r>
              <w:rPr>
                <w:noProof/>
                <w:webHidden/>
              </w:rPr>
            </w:r>
            <w:r>
              <w:rPr>
                <w:noProof/>
                <w:webHidden/>
              </w:rPr>
              <w:fldChar w:fldCharType="separate"/>
            </w:r>
            <w:r>
              <w:rPr>
                <w:noProof/>
                <w:webHidden/>
              </w:rPr>
              <w:t>7</w:t>
            </w:r>
            <w:r>
              <w:rPr>
                <w:noProof/>
                <w:webHidden/>
              </w:rPr>
              <w:fldChar w:fldCharType="end"/>
            </w:r>
          </w:hyperlink>
        </w:p>
        <w:p w14:paraId="0501B6BA" w14:textId="180F11E9"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71" w:history="1">
            <w:r w:rsidRPr="00365111">
              <w:rPr>
                <w:rStyle w:val="Hyperlink"/>
                <w:noProof/>
              </w:rPr>
              <w:t>Monitoring, Incidents, and Compliance</w:t>
            </w:r>
            <w:r>
              <w:rPr>
                <w:noProof/>
                <w:webHidden/>
              </w:rPr>
              <w:tab/>
            </w:r>
            <w:r>
              <w:rPr>
                <w:noProof/>
                <w:webHidden/>
              </w:rPr>
              <w:fldChar w:fldCharType="begin"/>
            </w:r>
            <w:r>
              <w:rPr>
                <w:noProof/>
                <w:webHidden/>
              </w:rPr>
              <w:instrText xml:space="preserve"> PAGEREF _Toc233198771 \h </w:instrText>
            </w:r>
            <w:r>
              <w:rPr>
                <w:noProof/>
                <w:webHidden/>
              </w:rPr>
            </w:r>
            <w:r>
              <w:rPr>
                <w:noProof/>
                <w:webHidden/>
              </w:rPr>
              <w:fldChar w:fldCharType="separate"/>
            </w:r>
            <w:r>
              <w:rPr>
                <w:noProof/>
                <w:webHidden/>
              </w:rPr>
              <w:t>7</w:t>
            </w:r>
            <w:r>
              <w:rPr>
                <w:noProof/>
                <w:webHidden/>
              </w:rPr>
              <w:fldChar w:fldCharType="end"/>
            </w:r>
          </w:hyperlink>
        </w:p>
        <w:p w14:paraId="2DCBA090" w14:textId="3F7832D5"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72" w:history="1">
            <w:r w:rsidRPr="00365111">
              <w:rPr>
                <w:rStyle w:val="Hyperlink"/>
                <w:noProof/>
              </w:rPr>
              <w:t>Exceptions and Policy Maintenance</w:t>
            </w:r>
            <w:r>
              <w:rPr>
                <w:noProof/>
                <w:webHidden/>
              </w:rPr>
              <w:tab/>
            </w:r>
            <w:r>
              <w:rPr>
                <w:noProof/>
                <w:webHidden/>
              </w:rPr>
              <w:fldChar w:fldCharType="begin"/>
            </w:r>
            <w:r>
              <w:rPr>
                <w:noProof/>
                <w:webHidden/>
              </w:rPr>
              <w:instrText xml:space="preserve"> PAGEREF _Toc233198772 \h </w:instrText>
            </w:r>
            <w:r>
              <w:rPr>
                <w:noProof/>
                <w:webHidden/>
              </w:rPr>
            </w:r>
            <w:r>
              <w:rPr>
                <w:noProof/>
                <w:webHidden/>
              </w:rPr>
              <w:fldChar w:fldCharType="separate"/>
            </w:r>
            <w:r>
              <w:rPr>
                <w:noProof/>
                <w:webHidden/>
              </w:rPr>
              <w:t>8</w:t>
            </w:r>
            <w:r>
              <w:rPr>
                <w:noProof/>
                <w:webHidden/>
              </w:rPr>
              <w:fldChar w:fldCharType="end"/>
            </w:r>
          </w:hyperlink>
        </w:p>
        <w:p w14:paraId="77DB877B" w14:textId="7C7BF012" w:rsidR="002E22A9" w:rsidRDefault="002E22A9">
          <w:pPr>
            <w:pStyle w:val="TOC1"/>
            <w:tabs>
              <w:tab w:val="right" w:leader="dot" w:pos="9782"/>
            </w:tabs>
            <w:rPr>
              <w:rFonts w:asciiTheme="minorHAnsi" w:hAnsiTheme="minorHAnsi"/>
              <w:noProof/>
              <w:kern w:val="2"/>
              <w:sz w:val="24"/>
              <w:szCs w:val="24"/>
              <w14:ligatures w14:val="standardContextual"/>
            </w:rPr>
          </w:pPr>
          <w:hyperlink w:anchor="_Toc233198773" w:history="1">
            <w:r w:rsidRPr="00365111">
              <w:rPr>
                <w:rStyle w:val="Hyperlink"/>
                <w:noProof/>
              </w:rPr>
              <w:t>Employee Acknowledgment</w:t>
            </w:r>
            <w:r>
              <w:rPr>
                <w:noProof/>
                <w:webHidden/>
              </w:rPr>
              <w:tab/>
            </w:r>
            <w:r>
              <w:rPr>
                <w:noProof/>
                <w:webHidden/>
              </w:rPr>
              <w:fldChar w:fldCharType="begin"/>
            </w:r>
            <w:r>
              <w:rPr>
                <w:noProof/>
                <w:webHidden/>
              </w:rPr>
              <w:instrText xml:space="preserve"> PAGEREF _Toc233198773 \h </w:instrText>
            </w:r>
            <w:r>
              <w:rPr>
                <w:noProof/>
                <w:webHidden/>
              </w:rPr>
            </w:r>
            <w:r>
              <w:rPr>
                <w:noProof/>
                <w:webHidden/>
              </w:rPr>
              <w:fldChar w:fldCharType="separate"/>
            </w:r>
            <w:r>
              <w:rPr>
                <w:noProof/>
                <w:webHidden/>
              </w:rPr>
              <w:t>8</w:t>
            </w:r>
            <w:r>
              <w:rPr>
                <w:noProof/>
                <w:webHidden/>
              </w:rPr>
              <w:fldChar w:fldCharType="end"/>
            </w:r>
          </w:hyperlink>
        </w:p>
        <w:p w14:paraId="26E11F76" w14:textId="3BE96B5A" w:rsidR="004F7D31" w:rsidRDefault="00B810C8">
          <w:r>
            <w:rPr>
              <w:b/>
              <w:bCs/>
              <w:noProof/>
            </w:rPr>
            <w:fldChar w:fldCharType="end"/>
          </w:r>
        </w:p>
      </w:sdtContent>
    </w:sdt>
    <w:p w14:paraId="2580B920" w14:textId="0D59C994" w:rsidR="004F7D31" w:rsidRDefault="002860A8">
      <w:pPr>
        <w:pStyle w:val="Heading1"/>
      </w:pPr>
      <w:bookmarkStart w:id="0" w:name="_Toc233198757"/>
      <w:r>
        <w:rPr>
          <w:rFonts w:ascii="Aptos" w:hAnsi="Aptos"/>
        </w:rPr>
        <w:lastRenderedPageBreak/>
        <w:t>Purpose</w:t>
      </w:r>
      <w:bookmarkEnd w:id="0"/>
    </w:p>
    <w:p w14:paraId="564AD07F" w14:textId="78378947" w:rsidR="004F7D31" w:rsidRDefault="00E86DAF">
      <w:r w:rsidRPr="00E86DAF">
        <w:rPr>
          <w:b/>
          <w:color w:val="FF0000"/>
        </w:rPr>
        <w:t>[Your Company Name]</w:t>
      </w:r>
      <w:r w:rsidR="002860A8">
        <w:t xml:space="preserve"> encourages practical, responsible use of artificial intelligence to improve work quality, reduce manual friction, support better decisions, and help employees serve customers and suppliers more effectively. AI can assist employees with drafting, summarizing, organizing, comparing, analyzing, and preparing work for review. It should not replace human judgment, business accountability, or required review steps.</w:t>
      </w:r>
    </w:p>
    <w:p w14:paraId="0F2D8A1B" w14:textId="38AC6B22" w:rsidR="004F7D31" w:rsidRDefault="002860A8">
      <w:r>
        <w:t xml:space="preserve">This policy establishes the operating boundaries for AI use at </w:t>
      </w:r>
      <w:r w:rsidR="00E86DAF" w:rsidRPr="00E86DAF">
        <w:rPr>
          <w:b/>
          <w:color w:val="FF0000"/>
        </w:rPr>
        <w:t>[Your Company Name]</w:t>
      </w:r>
      <w:r>
        <w:t>. It is intended to make the safe path clear. Employees should understand which tools are approved, what information may and may not be used, where human review is required, and how to escalate questions or unclear use cases.</w:t>
      </w:r>
      <w:r w:rsidR="00C82D4D">
        <w:br/>
      </w:r>
    </w:p>
    <w:tbl>
      <w:tblPr>
        <w:tblW w:w="0" w:type="auto"/>
        <w:jc w:val="center"/>
        <w:tblLook w:val="04A0" w:firstRow="1" w:lastRow="0" w:firstColumn="1" w:lastColumn="0" w:noHBand="0" w:noVBand="1"/>
      </w:tblPr>
      <w:tblGrid>
        <w:gridCol w:w="9792"/>
      </w:tblGrid>
      <w:tr w:rsidR="004F7D31" w14:paraId="7226A6C5" w14:textId="77777777">
        <w:trPr>
          <w:jc w:val="center"/>
        </w:trPr>
        <w:tc>
          <w:tcPr>
            <w:tcW w:w="9792" w:type="dxa"/>
            <w:tcBorders>
              <w:top w:val="single" w:sz="8" w:space="0" w:color="152342"/>
              <w:left w:val="single" w:sz="8" w:space="0" w:color="152342"/>
              <w:bottom w:val="single" w:sz="8" w:space="0" w:color="152342"/>
              <w:right w:val="single" w:sz="8" w:space="0" w:color="152342"/>
            </w:tcBorders>
            <w:shd w:val="clear" w:color="auto" w:fill="DDE6F2"/>
          </w:tcPr>
          <w:p w14:paraId="6117EBD9" w14:textId="77777777" w:rsidR="004F7D31" w:rsidRDefault="002860A8">
            <w:pPr>
              <w:spacing w:after="80"/>
            </w:pPr>
            <w:r>
              <w:rPr>
                <w:b/>
                <w:color w:val="152342"/>
              </w:rPr>
              <w:t>Policy intent</w:t>
            </w:r>
          </w:p>
          <w:p w14:paraId="6DBFCCF4" w14:textId="77777777" w:rsidR="004F7D31" w:rsidRDefault="002860A8">
            <w:pPr>
              <w:spacing w:after="0"/>
            </w:pPr>
            <w:r>
              <w:rPr>
                <w:sz w:val="19"/>
              </w:rPr>
              <w:t>This policy is designed to enable safe momentum, not static control. The company wants employees to learn and use AI responsibly while protecting customer trust, employee information, supplier relationships, pricing integrity, margin strategy, contractual obligations, cybersecurity, and work quality.</w:t>
            </w:r>
          </w:p>
        </w:tc>
      </w:tr>
    </w:tbl>
    <w:p w14:paraId="4FD8D6C4" w14:textId="5F45FC9D" w:rsidR="004F7D31" w:rsidRDefault="002860A8">
      <w:pPr>
        <w:pStyle w:val="Heading1"/>
      </w:pPr>
      <w:bookmarkStart w:id="1" w:name="_Toc233198758"/>
      <w:r>
        <w:rPr>
          <w:rFonts w:ascii="Aptos" w:hAnsi="Aptos"/>
        </w:rPr>
        <w:t>Scope</w:t>
      </w:r>
      <w:bookmarkEnd w:id="1"/>
    </w:p>
    <w:p w14:paraId="4CB3F924" w14:textId="04C3AB40" w:rsidR="004F7D31" w:rsidRDefault="002860A8">
      <w:r>
        <w:t xml:space="preserve">This policy applies to all uses of AI tools and AI-enabled capabilities for company-related work, including but not limited to generative AI chat tools, AI writing assistants, embedded productivity assistants, AI search tools, AI-enabled analytics, workflow automation with AI capabilities, AI agents, image or video generation, coding assistants, and any AI capability embedded inside software used by </w:t>
      </w:r>
      <w:r w:rsidR="00E86DAF" w:rsidRPr="00E86DAF">
        <w:rPr>
          <w:b/>
          <w:color w:val="FF0000"/>
        </w:rPr>
        <w:t>[Your Company Name]</w:t>
      </w:r>
      <w:r>
        <w:t>.</w:t>
      </w:r>
    </w:p>
    <w:p w14:paraId="2F69AF0C" w14:textId="77777777" w:rsidR="004F7D31" w:rsidRDefault="002860A8">
      <w:r>
        <w:t>This policy applies whether the tool is accessed through a company device, personal device, browser, mobile application, software platform, third-party vendor portal, or integrated business system. Employees may not avoid this policy by using a personal account, personal device, or unapproved external tool for company work.</w:t>
      </w:r>
    </w:p>
    <w:p w14:paraId="046D3874" w14:textId="70AAD6EE" w:rsidR="004F7D31" w:rsidRDefault="002860A8">
      <w:pPr>
        <w:pStyle w:val="Heading1"/>
      </w:pPr>
      <w:bookmarkStart w:id="2" w:name="_Toc233198759"/>
      <w:r>
        <w:rPr>
          <w:rFonts w:ascii="Aptos" w:hAnsi="Aptos"/>
        </w:rPr>
        <w:t>Guiding Principles</w:t>
      </w:r>
      <w:bookmarkEnd w:id="2"/>
    </w:p>
    <w:p w14:paraId="6D1B6C7D" w14:textId="07D904DC" w:rsidR="004F7D31" w:rsidRDefault="00E86DAF">
      <w:r w:rsidRPr="00E86DAF">
        <w:rPr>
          <w:b/>
          <w:color w:val="FF0000"/>
        </w:rPr>
        <w:t>[Your Company Name]</w:t>
      </w:r>
      <w:r w:rsidR="002860A8">
        <w:t xml:space="preserve"> will use AI according to the following principles:</w:t>
      </w:r>
    </w:p>
    <w:p w14:paraId="501DFA02" w14:textId="77777777" w:rsidR="004F7D31" w:rsidRDefault="002860A8">
      <w:pPr>
        <w:pStyle w:val="ListBullet"/>
        <w:spacing w:after="40"/>
      </w:pPr>
      <w:r w:rsidRPr="00A44693">
        <w:rPr>
          <w:b/>
          <w:bCs/>
        </w:rPr>
        <w:t>Business-led, IT-partnered:</w:t>
      </w:r>
      <w:r>
        <w:t xml:space="preserve"> The business owns the work, value, workflow fit, change management, and output quality. IT and security leaders manage approved tools, access controls, integration, cybersecurity, and technical safeguards.</w:t>
      </w:r>
    </w:p>
    <w:p w14:paraId="290D0FA5" w14:textId="77777777" w:rsidR="004F7D31" w:rsidRDefault="002860A8">
      <w:pPr>
        <w:pStyle w:val="ListBullet"/>
        <w:spacing w:after="40"/>
      </w:pPr>
      <w:r w:rsidRPr="00A44693">
        <w:rPr>
          <w:b/>
          <w:bCs/>
        </w:rPr>
        <w:t>Human accountability:</w:t>
      </w:r>
      <w:r>
        <w:t xml:space="preserve"> AI output is assistance, not authority. A person remains accountable for decisions, communications, customer commitments, supplier commitments, employee actions, and business results.</w:t>
      </w:r>
    </w:p>
    <w:p w14:paraId="751DFC83" w14:textId="77777777" w:rsidR="004F7D31" w:rsidRDefault="002860A8">
      <w:pPr>
        <w:pStyle w:val="ListBullet"/>
        <w:spacing w:after="40"/>
      </w:pPr>
      <w:r w:rsidRPr="00A44693">
        <w:rPr>
          <w:b/>
          <w:bCs/>
        </w:rPr>
        <w:t>Data protection:</w:t>
      </w:r>
      <w:r>
        <w:t xml:space="preserve"> Employees must protect customer, employee, supplier, pricing, contract, financial, cybersecurity, proprietary, and confidential information.</w:t>
      </w:r>
    </w:p>
    <w:p w14:paraId="1A6D2A0C" w14:textId="77777777" w:rsidR="004F7D31" w:rsidRDefault="002860A8">
      <w:pPr>
        <w:pStyle w:val="ListBullet"/>
        <w:spacing w:after="40"/>
      </w:pPr>
      <w:r w:rsidRPr="00A44693">
        <w:rPr>
          <w:b/>
          <w:bCs/>
        </w:rPr>
        <w:t>Use-case fit:</w:t>
      </w:r>
      <w:r>
        <w:t xml:space="preserve"> AI should be applied to clearly understood work. AI should not be used to automate broken, unstable, or undefined processes without first clarifying the workflow and ownership.</w:t>
      </w:r>
    </w:p>
    <w:p w14:paraId="68F2DCF5" w14:textId="77777777" w:rsidR="004F7D31" w:rsidRDefault="002860A8">
      <w:pPr>
        <w:pStyle w:val="ListBullet"/>
        <w:spacing w:after="40"/>
      </w:pPr>
      <w:r w:rsidRPr="00A44693">
        <w:rPr>
          <w:b/>
          <w:bCs/>
        </w:rPr>
        <w:t>Safe transparency:</w:t>
      </w:r>
      <w:r>
        <w:t xml:space="preserve"> Employees should be able to ask questions about AI use without fear of punishment for escalating uncertainty. The company would rather see responsible questions than invisible risk.</w:t>
      </w:r>
    </w:p>
    <w:p w14:paraId="48139199" w14:textId="77777777" w:rsidR="004F7D31" w:rsidRDefault="002860A8">
      <w:pPr>
        <w:pStyle w:val="ListBullet"/>
        <w:spacing w:after="40"/>
      </w:pPr>
      <w:r w:rsidRPr="00A44693">
        <w:rPr>
          <w:b/>
          <w:bCs/>
        </w:rPr>
        <w:t>Quality over volume:</w:t>
      </w:r>
      <w:r>
        <w:t xml:space="preserve"> AI should improve usefulness, clarity, and speed. It should not be used to create more low-value output that looks polished but does not improve the work.</w:t>
      </w:r>
    </w:p>
    <w:p w14:paraId="48187C71" w14:textId="77777777" w:rsidR="00A44693" w:rsidRDefault="00A44693">
      <w:pPr>
        <w:spacing w:after="200" w:line="276" w:lineRule="auto"/>
        <w:rPr>
          <w:rFonts w:eastAsiaTheme="majorEastAsia" w:cstheme="majorBidi"/>
          <w:b/>
          <w:bCs/>
          <w:color w:val="152342"/>
          <w:sz w:val="32"/>
          <w:szCs w:val="28"/>
        </w:rPr>
      </w:pPr>
      <w:r>
        <w:br w:type="page"/>
      </w:r>
    </w:p>
    <w:p w14:paraId="31C57852" w14:textId="2929EA91" w:rsidR="004F7D31" w:rsidRDefault="002860A8">
      <w:pPr>
        <w:pStyle w:val="Heading1"/>
      </w:pPr>
      <w:bookmarkStart w:id="3" w:name="_Toc233198760"/>
      <w:r>
        <w:rPr>
          <w:rFonts w:ascii="Aptos" w:hAnsi="Aptos"/>
        </w:rPr>
        <w:lastRenderedPageBreak/>
        <w:t>Roles and Responsibilities</w:t>
      </w:r>
      <w:bookmarkEnd w:id="3"/>
    </w:p>
    <w:tbl>
      <w:tblPr>
        <w:tblStyle w:val="TableGrid"/>
        <w:tblW w:w="0" w:type="auto"/>
        <w:jc w:val="center"/>
        <w:tblLook w:val="04A0" w:firstRow="1" w:lastRow="0" w:firstColumn="1" w:lastColumn="0" w:noHBand="0" w:noVBand="1"/>
      </w:tblPr>
      <w:tblGrid>
        <w:gridCol w:w="2178"/>
        <w:gridCol w:w="7830"/>
      </w:tblGrid>
      <w:tr w:rsidR="004F7D31" w14:paraId="42812C54" w14:textId="77777777" w:rsidTr="00A44693">
        <w:trPr>
          <w:jc w:val="center"/>
        </w:trPr>
        <w:tc>
          <w:tcPr>
            <w:tcW w:w="2178" w:type="dxa"/>
            <w:shd w:val="clear" w:color="auto" w:fill="152342"/>
            <w:vAlign w:val="center"/>
          </w:tcPr>
          <w:p w14:paraId="7FA59E2D" w14:textId="77777777" w:rsidR="004F7D31" w:rsidRDefault="002860A8">
            <w:pPr>
              <w:spacing w:after="0"/>
            </w:pPr>
            <w:r>
              <w:rPr>
                <w:b/>
                <w:color w:val="FFFFFF"/>
                <w:sz w:val="18"/>
              </w:rPr>
              <w:t>Role</w:t>
            </w:r>
          </w:p>
        </w:tc>
        <w:tc>
          <w:tcPr>
            <w:tcW w:w="7830" w:type="dxa"/>
            <w:shd w:val="clear" w:color="auto" w:fill="152342"/>
            <w:vAlign w:val="center"/>
          </w:tcPr>
          <w:p w14:paraId="0FB233FD" w14:textId="77777777" w:rsidR="004F7D31" w:rsidRDefault="002860A8">
            <w:pPr>
              <w:spacing w:after="0"/>
            </w:pPr>
            <w:r>
              <w:rPr>
                <w:b/>
                <w:color w:val="FFFFFF"/>
                <w:sz w:val="18"/>
              </w:rPr>
              <w:t>Responsibilities</w:t>
            </w:r>
          </w:p>
        </w:tc>
      </w:tr>
      <w:tr w:rsidR="004F7D31" w14:paraId="06527F1B" w14:textId="77777777" w:rsidTr="00A44693">
        <w:trPr>
          <w:jc w:val="center"/>
        </w:trPr>
        <w:tc>
          <w:tcPr>
            <w:tcW w:w="2178" w:type="dxa"/>
          </w:tcPr>
          <w:p w14:paraId="708E6DED" w14:textId="77777777" w:rsidR="004F7D31" w:rsidRDefault="002860A8">
            <w:pPr>
              <w:spacing w:after="0"/>
            </w:pPr>
            <w:r>
              <w:rPr>
                <w:sz w:val="18"/>
              </w:rPr>
              <w:t>Executive leadership</w:t>
            </w:r>
          </w:p>
        </w:tc>
        <w:tc>
          <w:tcPr>
            <w:tcW w:w="7830" w:type="dxa"/>
          </w:tcPr>
          <w:p w14:paraId="231C0E04" w14:textId="77777777" w:rsidR="004F7D31" w:rsidRDefault="002860A8">
            <w:pPr>
              <w:spacing w:after="0"/>
            </w:pPr>
            <w:r>
              <w:rPr>
                <w:sz w:val="18"/>
              </w:rPr>
              <w:t>Set direction, risk appetite, business priorities, investment level, and accountability for responsible AI use. Review high-risk use cases and ensure AI work aligns with business strategy.</w:t>
            </w:r>
          </w:p>
        </w:tc>
      </w:tr>
      <w:tr w:rsidR="004F7D31" w14:paraId="5D52E67D" w14:textId="77777777" w:rsidTr="00A44693">
        <w:trPr>
          <w:jc w:val="center"/>
        </w:trPr>
        <w:tc>
          <w:tcPr>
            <w:tcW w:w="2178" w:type="dxa"/>
          </w:tcPr>
          <w:p w14:paraId="25E2E582" w14:textId="77777777" w:rsidR="004F7D31" w:rsidRDefault="002860A8">
            <w:pPr>
              <w:spacing w:after="0"/>
            </w:pPr>
            <w:r>
              <w:rPr>
                <w:sz w:val="18"/>
              </w:rPr>
              <w:t>Business leaders and functional owners</w:t>
            </w:r>
          </w:p>
        </w:tc>
        <w:tc>
          <w:tcPr>
            <w:tcW w:w="7830" w:type="dxa"/>
          </w:tcPr>
          <w:p w14:paraId="0C8B76A2" w14:textId="77777777" w:rsidR="004F7D31" w:rsidRDefault="002860A8">
            <w:pPr>
              <w:spacing w:after="0"/>
            </w:pPr>
            <w:r>
              <w:rPr>
                <w:sz w:val="18"/>
              </w:rPr>
              <w:t>Define the workflow, business value, users, adoption expectations, review standards, and operational ownership for AI-enabled work in areas such as sales, purchasing, operations, warehousing, HR, finance, marketing, and branch leadership.</w:t>
            </w:r>
          </w:p>
        </w:tc>
      </w:tr>
      <w:tr w:rsidR="004F7D31" w14:paraId="0E604B91" w14:textId="77777777" w:rsidTr="00A44693">
        <w:trPr>
          <w:jc w:val="center"/>
        </w:trPr>
        <w:tc>
          <w:tcPr>
            <w:tcW w:w="2178" w:type="dxa"/>
          </w:tcPr>
          <w:p w14:paraId="506127BF" w14:textId="77777777" w:rsidR="004F7D31" w:rsidRDefault="002860A8">
            <w:pPr>
              <w:spacing w:after="0"/>
            </w:pPr>
            <w:r>
              <w:rPr>
                <w:sz w:val="18"/>
              </w:rPr>
              <w:t>IT and security</w:t>
            </w:r>
          </w:p>
        </w:tc>
        <w:tc>
          <w:tcPr>
            <w:tcW w:w="7830" w:type="dxa"/>
          </w:tcPr>
          <w:p w14:paraId="3A3E982A" w14:textId="77777777" w:rsidR="004F7D31" w:rsidRDefault="002860A8">
            <w:pPr>
              <w:spacing w:after="0"/>
            </w:pPr>
            <w:r>
              <w:rPr>
                <w:sz w:val="18"/>
              </w:rPr>
              <w:t>Manage approved tools, identity and access controls, security reviews, technical risk, integrations, data access, vendor assessments, monitoring, and technical guardrails.</w:t>
            </w:r>
          </w:p>
        </w:tc>
      </w:tr>
      <w:tr w:rsidR="004F7D31" w14:paraId="4AA445A4" w14:textId="77777777" w:rsidTr="00A44693">
        <w:trPr>
          <w:jc w:val="center"/>
        </w:trPr>
        <w:tc>
          <w:tcPr>
            <w:tcW w:w="2178" w:type="dxa"/>
          </w:tcPr>
          <w:p w14:paraId="1F3FB805" w14:textId="77777777" w:rsidR="004F7D31" w:rsidRDefault="002860A8">
            <w:pPr>
              <w:spacing w:after="0"/>
            </w:pPr>
            <w:r>
              <w:rPr>
                <w:sz w:val="18"/>
              </w:rPr>
              <w:t>Data owners</w:t>
            </w:r>
          </w:p>
        </w:tc>
        <w:tc>
          <w:tcPr>
            <w:tcW w:w="7830" w:type="dxa"/>
          </w:tcPr>
          <w:p w14:paraId="6A835016" w14:textId="77777777" w:rsidR="004F7D31" w:rsidRDefault="002860A8">
            <w:pPr>
              <w:spacing w:after="0"/>
            </w:pPr>
            <w:r>
              <w:rPr>
                <w:sz w:val="18"/>
              </w:rPr>
              <w:t>Define source authority, data quality expectations, data boundaries, access rules, and correction paths for data used in AI workflows.</w:t>
            </w:r>
          </w:p>
        </w:tc>
      </w:tr>
      <w:tr w:rsidR="004F7D31" w14:paraId="27E5CB8C" w14:textId="77777777" w:rsidTr="00A44693">
        <w:trPr>
          <w:jc w:val="center"/>
        </w:trPr>
        <w:tc>
          <w:tcPr>
            <w:tcW w:w="2178" w:type="dxa"/>
          </w:tcPr>
          <w:p w14:paraId="1B1082C4" w14:textId="77777777" w:rsidR="004F7D31" w:rsidRDefault="002860A8">
            <w:pPr>
              <w:spacing w:after="0"/>
            </w:pPr>
            <w:r>
              <w:rPr>
                <w:sz w:val="18"/>
              </w:rPr>
              <w:t>HR, legal, and compliance</w:t>
            </w:r>
          </w:p>
        </w:tc>
        <w:tc>
          <w:tcPr>
            <w:tcW w:w="7830" w:type="dxa"/>
          </w:tcPr>
          <w:p w14:paraId="6375590A" w14:textId="77777777" w:rsidR="004F7D31" w:rsidRDefault="002860A8">
            <w:pPr>
              <w:spacing w:after="0"/>
            </w:pPr>
            <w:r>
              <w:rPr>
                <w:sz w:val="18"/>
              </w:rPr>
              <w:t>Review policy language, employee-data boundaries, training expectations, regulatory considerations, disciplinary implications, and sensitive-use cases.</w:t>
            </w:r>
          </w:p>
        </w:tc>
      </w:tr>
      <w:tr w:rsidR="004F7D31" w14:paraId="075CBAA4" w14:textId="77777777" w:rsidTr="00A44693">
        <w:trPr>
          <w:jc w:val="center"/>
        </w:trPr>
        <w:tc>
          <w:tcPr>
            <w:tcW w:w="2178" w:type="dxa"/>
          </w:tcPr>
          <w:p w14:paraId="35BE7774" w14:textId="77777777" w:rsidR="004F7D31" w:rsidRDefault="002860A8">
            <w:pPr>
              <w:spacing w:after="0"/>
            </w:pPr>
            <w:r>
              <w:rPr>
                <w:sz w:val="18"/>
              </w:rPr>
              <w:t>Managers</w:t>
            </w:r>
          </w:p>
        </w:tc>
        <w:tc>
          <w:tcPr>
            <w:tcW w:w="7830" w:type="dxa"/>
          </w:tcPr>
          <w:p w14:paraId="66F95C74" w14:textId="77777777" w:rsidR="004F7D31" w:rsidRDefault="002860A8">
            <w:pPr>
              <w:spacing w:after="0"/>
            </w:pPr>
            <w:r>
              <w:rPr>
                <w:sz w:val="18"/>
              </w:rPr>
              <w:t>Reinforce approved tools, data boundaries, review standards, and escalation paths. Coach employees on safe and useful AI behavior in daily work.</w:t>
            </w:r>
          </w:p>
        </w:tc>
      </w:tr>
      <w:tr w:rsidR="004F7D31" w14:paraId="4B539DFE" w14:textId="77777777" w:rsidTr="00A44693">
        <w:trPr>
          <w:jc w:val="center"/>
        </w:trPr>
        <w:tc>
          <w:tcPr>
            <w:tcW w:w="2178" w:type="dxa"/>
          </w:tcPr>
          <w:p w14:paraId="0B70D9A8" w14:textId="77777777" w:rsidR="004F7D31" w:rsidRDefault="002860A8">
            <w:pPr>
              <w:spacing w:after="0"/>
            </w:pPr>
            <w:r>
              <w:rPr>
                <w:sz w:val="18"/>
              </w:rPr>
              <w:t>Employees and approved users</w:t>
            </w:r>
          </w:p>
        </w:tc>
        <w:tc>
          <w:tcPr>
            <w:tcW w:w="7830" w:type="dxa"/>
          </w:tcPr>
          <w:p w14:paraId="035ABEBA" w14:textId="77777777" w:rsidR="004F7D31" w:rsidRDefault="002860A8">
            <w:pPr>
              <w:spacing w:after="0"/>
            </w:pPr>
            <w:r>
              <w:rPr>
                <w:sz w:val="18"/>
              </w:rPr>
              <w:t>Use only approved AI tools for company work, protect restricted information, review AI output before use, and escalate uncertainty.</w:t>
            </w:r>
          </w:p>
        </w:tc>
      </w:tr>
      <w:tr w:rsidR="004F7D31" w14:paraId="2CF14638" w14:textId="77777777" w:rsidTr="00A44693">
        <w:trPr>
          <w:jc w:val="center"/>
        </w:trPr>
        <w:tc>
          <w:tcPr>
            <w:tcW w:w="2178" w:type="dxa"/>
          </w:tcPr>
          <w:p w14:paraId="61E0EA7E" w14:textId="77777777" w:rsidR="004F7D31" w:rsidRDefault="002860A8">
            <w:pPr>
              <w:spacing w:after="0"/>
            </w:pPr>
            <w:r>
              <w:rPr>
                <w:sz w:val="18"/>
              </w:rPr>
              <w:t>AI Champions Group, if established</w:t>
            </w:r>
          </w:p>
        </w:tc>
        <w:tc>
          <w:tcPr>
            <w:tcW w:w="7830" w:type="dxa"/>
          </w:tcPr>
          <w:p w14:paraId="0C90E015" w14:textId="77777777" w:rsidR="004F7D31" w:rsidRDefault="002860A8">
            <w:pPr>
              <w:spacing w:after="0"/>
            </w:pPr>
            <w:r>
              <w:rPr>
                <w:sz w:val="18"/>
              </w:rPr>
              <w:t>Share examples, capture reusable prompt and workflow patterns, surface questions, help reduce fear, and escalate promising or risky use cases to the appropriate governance path.</w:t>
            </w:r>
          </w:p>
        </w:tc>
      </w:tr>
    </w:tbl>
    <w:p w14:paraId="3F1F9BD9" w14:textId="77777777" w:rsidR="004F7D31" w:rsidRDefault="004F7D31"/>
    <w:p w14:paraId="3AAAB4F1" w14:textId="10186B03" w:rsidR="004F7D31" w:rsidRDefault="002860A8">
      <w:pPr>
        <w:pStyle w:val="Heading1"/>
      </w:pPr>
      <w:bookmarkStart w:id="4" w:name="_Toc233198761"/>
      <w:r>
        <w:rPr>
          <w:rFonts w:ascii="Aptos" w:hAnsi="Aptos"/>
        </w:rPr>
        <w:t>Approved Tools and Access</w:t>
      </w:r>
      <w:bookmarkEnd w:id="4"/>
    </w:p>
    <w:p w14:paraId="41EC449D" w14:textId="5F70F365" w:rsidR="004F7D31" w:rsidRDefault="002860A8">
      <w:r>
        <w:t xml:space="preserve">Employees may use AI tools for company work only when those tools are approved by </w:t>
      </w:r>
      <w:r w:rsidR="00E86DAF" w:rsidRPr="00E86DAF">
        <w:rPr>
          <w:b/>
          <w:color w:val="FF0000"/>
        </w:rPr>
        <w:t>[Your Company Name]</w:t>
      </w:r>
      <w:r>
        <w:t xml:space="preserve">. The current approved tool list is maintained at </w:t>
      </w:r>
      <w:r w:rsidRPr="00BF7E0A">
        <w:rPr>
          <w:b/>
          <w:bCs/>
          <w:color w:val="FF0000"/>
        </w:rPr>
        <w:t>[approved AI tool list location]</w:t>
      </w:r>
      <w:r>
        <w:t xml:space="preserve">. The company’s primary approved AI tool is currently </w:t>
      </w:r>
      <w:r w:rsidR="00BF7E0A" w:rsidRPr="00BF7E0A">
        <w:rPr>
          <w:b/>
          <w:bCs/>
          <w:color w:val="FF0000"/>
        </w:rPr>
        <w:t>[your preferred AI tool]</w:t>
      </w:r>
      <w:r>
        <w:t xml:space="preserve">, unless another tool or use case has been specifically approved by </w:t>
      </w:r>
      <w:r w:rsidRPr="00BF7E0A">
        <w:rPr>
          <w:b/>
          <w:bCs/>
          <w:color w:val="FF0000"/>
        </w:rPr>
        <w:t>[AI policy owner or IT/security owner].</w:t>
      </w:r>
    </w:p>
    <w:p w14:paraId="20110451" w14:textId="0E99ADC7" w:rsidR="004F7D31" w:rsidRDefault="002860A8">
      <w:r>
        <w:t>Employees may not use personal AI accounts, public AI tools, browser extensions, mobile applications, or vendor-provided AI features for company work unless those tools have been reviewed and approved for the intended use. Approval of a tool does not automatically approve every use case, every data type, or every workflow.</w:t>
      </w:r>
      <w:r w:rsidR="00C82D4D">
        <w:br/>
      </w:r>
    </w:p>
    <w:tbl>
      <w:tblPr>
        <w:tblW w:w="0" w:type="auto"/>
        <w:jc w:val="center"/>
        <w:tblLook w:val="04A0" w:firstRow="1" w:lastRow="0" w:firstColumn="1" w:lastColumn="0" w:noHBand="0" w:noVBand="1"/>
      </w:tblPr>
      <w:tblGrid>
        <w:gridCol w:w="9792"/>
      </w:tblGrid>
      <w:tr w:rsidR="004F7D31" w14:paraId="2A90672A" w14:textId="77777777">
        <w:trPr>
          <w:jc w:val="center"/>
        </w:trPr>
        <w:tc>
          <w:tcPr>
            <w:tcW w:w="9792" w:type="dxa"/>
            <w:tcBorders>
              <w:top w:val="single" w:sz="8" w:space="0" w:color="152342"/>
              <w:left w:val="single" w:sz="8" w:space="0" w:color="152342"/>
              <w:bottom w:val="single" w:sz="8" w:space="0" w:color="152342"/>
              <w:right w:val="single" w:sz="8" w:space="0" w:color="152342"/>
            </w:tcBorders>
            <w:shd w:val="clear" w:color="auto" w:fill="F3F5F7"/>
          </w:tcPr>
          <w:p w14:paraId="47DF63A1" w14:textId="77777777" w:rsidR="004F7D31" w:rsidRDefault="002860A8">
            <w:pPr>
              <w:spacing w:after="80"/>
            </w:pPr>
            <w:r>
              <w:rPr>
                <w:b/>
                <w:color w:val="152342"/>
              </w:rPr>
              <w:t>Approved tool versus approved use</w:t>
            </w:r>
          </w:p>
          <w:p w14:paraId="5FFDE6E9" w14:textId="1F1937B1" w:rsidR="004F7D31" w:rsidRDefault="002860A8">
            <w:pPr>
              <w:spacing w:after="0"/>
            </w:pPr>
            <w:r>
              <w:rPr>
                <w:sz w:val="19"/>
              </w:rPr>
              <w:t xml:space="preserve">A tool may be approved, but a specific use case may still require additional review. For example, using </w:t>
            </w:r>
            <w:r w:rsidR="00BF7E0A" w:rsidRPr="00BF7E0A">
              <w:rPr>
                <w:b/>
                <w:color w:val="FF0000"/>
                <w:sz w:val="19"/>
              </w:rPr>
              <w:t>[your preferred AI tool]</w:t>
            </w:r>
            <w:r>
              <w:rPr>
                <w:sz w:val="19"/>
              </w:rPr>
              <w:t xml:space="preserve"> to draft a non-sensitive internal meeting summary may be allowed, while using it to analyze customer credit data, pricing strategy, contract terms, or employee performance data may require higher review or may be prohibited.</w:t>
            </w:r>
          </w:p>
        </w:tc>
      </w:tr>
    </w:tbl>
    <w:p w14:paraId="0E20F64E" w14:textId="77777777" w:rsidR="009B3289" w:rsidRDefault="009B3289">
      <w:pPr>
        <w:pStyle w:val="Heading1"/>
        <w:rPr>
          <w:rFonts w:ascii="Aptos" w:hAnsi="Aptos"/>
        </w:rPr>
      </w:pPr>
      <w:bookmarkStart w:id="5" w:name="_Toc233198762"/>
    </w:p>
    <w:p w14:paraId="09AEF4F0" w14:textId="77777777" w:rsidR="009B3289" w:rsidRDefault="009B3289">
      <w:pPr>
        <w:spacing w:after="200" w:line="276" w:lineRule="auto"/>
        <w:rPr>
          <w:rFonts w:eastAsiaTheme="majorEastAsia" w:cstheme="majorBidi"/>
          <w:b/>
          <w:bCs/>
          <w:color w:val="152342"/>
          <w:sz w:val="32"/>
          <w:szCs w:val="28"/>
        </w:rPr>
      </w:pPr>
      <w:r>
        <w:br w:type="page"/>
      </w:r>
    </w:p>
    <w:p w14:paraId="00D28D07" w14:textId="2195C4E3" w:rsidR="004F7D31" w:rsidRDefault="002860A8">
      <w:pPr>
        <w:pStyle w:val="Heading1"/>
      </w:pPr>
      <w:r>
        <w:rPr>
          <w:rFonts w:ascii="Aptos" w:hAnsi="Aptos"/>
        </w:rPr>
        <w:lastRenderedPageBreak/>
        <w:t>Approved Uses</w:t>
      </w:r>
      <w:bookmarkEnd w:id="5"/>
    </w:p>
    <w:p w14:paraId="2879060F" w14:textId="77777777" w:rsidR="004F7D31" w:rsidRDefault="002860A8">
      <w:r>
        <w:t>Approved AI uses depend on the tool, data, workflow, and review standard. The following are generally acceptable when performed in approved tools, with non-restricted information, and with human review before business use:</w:t>
      </w:r>
    </w:p>
    <w:p w14:paraId="45EA2FFD" w14:textId="77777777" w:rsidR="004F7D31" w:rsidRDefault="002860A8">
      <w:pPr>
        <w:pStyle w:val="ListBullet"/>
        <w:spacing w:after="40"/>
      </w:pPr>
      <w:r>
        <w:t>Drafting or revising internal communications that do not contain restricted information.</w:t>
      </w:r>
    </w:p>
    <w:p w14:paraId="443FC747" w14:textId="77777777" w:rsidR="004F7D31" w:rsidRDefault="002860A8">
      <w:pPr>
        <w:pStyle w:val="ListBullet"/>
        <w:spacing w:after="40"/>
      </w:pPr>
      <w:r>
        <w:t>Summarizing non-sensitive meeting notes, documents, or internal materials.</w:t>
      </w:r>
    </w:p>
    <w:p w14:paraId="5DCCC02A" w14:textId="77777777" w:rsidR="004F7D31" w:rsidRDefault="002860A8">
      <w:pPr>
        <w:pStyle w:val="ListBullet"/>
        <w:spacing w:after="40"/>
      </w:pPr>
      <w:r>
        <w:t>Brainstorming ideas, questions, outlines, or alternative ways to explain a topic.</w:t>
      </w:r>
    </w:p>
    <w:p w14:paraId="12F4EF24" w14:textId="77777777" w:rsidR="004F7D31" w:rsidRDefault="002860A8">
      <w:pPr>
        <w:pStyle w:val="ListBullet"/>
        <w:spacing w:after="40"/>
      </w:pPr>
      <w:r>
        <w:t>Formatting or organizing non-sensitive content into a clearer structure.</w:t>
      </w:r>
    </w:p>
    <w:p w14:paraId="5986F06C" w14:textId="77777777" w:rsidR="004F7D31" w:rsidRDefault="002860A8">
      <w:pPr>
        <w:pStyle w:val="ListBullet"/>
        <w:spacing w:after="40"/>
      </w:pPr>
      <w:r>
        <w:t>Preparing first-draft customer or supplier communication for human review, using approved and verified information only.</w:t>
      </w:r>
    </w:p>
    <w:p w14:paraId="28C24FDA" w14:textId="77777777" w:rsidR="004F7D31" w:rsidRDefault="002860A8">
      <w:pPr>
        <w:pStyle w:val="ListBullet"/>
        <w:spacing w:after="40"/>
      </w:pPr>
      <w:r>
        <w:t>Creating training outlines, role-play scenarios, job aids, or manager coaching prompts.</w:t>
      </w:r>
    </w:p>
    <w:p w14:paraId="417E3842" w14:textId="77777777" w:rsidR="004F7D31" w:rsidRDefault="002860A8">
      <w:pPr>
        <w:pStyle w:val="ListBullet"/>
        <w:spacing w:after="40"/>
      </w:pPr>
      <w:r>
        <w:t>Analyzing non-sensitive information when the data source is approved and the output is reviewed by a qualified employee.</w:t>
      </w:r>
    </w:p>
    <w:p w14:paraId="2241228E" w14:textId="77777777" w:rsidR="004F7D31" w:rsidRDefault="002860A8">
      <w:pPr>
        <w:pStyle w:val="ListBullet"/>
        <w:spacing w:after="40"/>
      </w:pPr>
      <w:r>
        <w:t>Helping identify questions, assumptions, risks, missing information, or possible next steps in a business problem.</w:t>
      </w:r>
    </w:p>
    <w:p w14:paraId="37D76E9D" w14:textId="77777777" w:rsidR="004F7D31" w:rsidRDefault="002860A8">
      <w:r>
        <w:t>Even when a use is generally allowed, employees must follow this policy’s data boundaries, review standards, and escalation rules.</w:t>
      </w:r>
    </w:p>
    <w:p w14:paraId="5EBB4C62" w14:textId="5EDBBFA8" w:rsidR="004F7D31" w:rsidRDefault="002860A8">
      <w:pPr>
        <w:pStyle w:val="Heading1"/>
      </w:pPr>
      <w:bookmarkStart w:id="6" w:name="_Toc233198763"/>
      <w:r>
        <w:rPr>
          <w:rFonts w:ascii="Aptos" w:hAnsi="Aptos"/>
        </w:rPr>
        <w:t>Restricted and Prohibited Uses</w:t>
      </w:r>
      <w:bookmarkEnd w:id="6"/>
    </w:p>
    <w:p w14:paraId="526E3327" w14:textId="2833E5C6" w:rsidR="004F7D31" w:rsidRDefault="002860A8">
      <w:r>
        <w:t xml:space="preserve">Employees may not use AI in ways that create unacceptable risk for </w:t>
      </w:r>
      <w:r w:rsidR="00E86DAF" w:rsidRPr="00E86DAF">
        <w:rPr>
          <w:b/>
          <w:color w:val="FF0000"/>
        </w:rPr>
        <w:t>[Your Company Name]</w:t>
      </w:r>
      <w:r>
        <w:t>, its customers, employees, suppliers, or business partners. The following uses are prohibited unless specifically approved in writing through the governance process and supported by appropriate controls:</w:t>
      </w:r>
    </w:p>
    <w:p w14:paraId="68AD3A0E" w14:textId="77777777" w:rsidR="004F7D31" w:rsidRDefault="002860A8">
      <w:pPr>
        <w:pStyle w:val="ListBullet"/>
        <w:spacing w:after="40"/>
      </w:pPr>
      <w:r>
        <w:t>Entering restricted or highly sensitive information into any AI tool unless the tool and use case have been explicitly approved for that information.</w:t>
      </w:r>
    </w:p>
    <w:p w14:paraId="58991196" w14:textId="77777777" w:rsidR="004F7D31" w:rsidRDefault="002860A8">
      <w:pPr>
        <w:pStyle w:val="ListBullet"/>
        <w:spacing w:after="40"/>
      </w:pPr>
      <w:r>
        <w:t>Using personal AI accounts or unapproved public AI tools for company work.</w:t>
      </w:r>
    </w:p>
    <w:p w14:paraId="034493EB" w14:textId="77777777" w:rsidR="004F7D31" w:rsidRDefault="002860A8">
      <w:pPr>
        <w:pStyle w:val="ListBullet"/>
        <w:spacing w:after="40"/>
      </w:pPr>
      <w:r>
        <w:t>Allowing AI to make final decisions related to hiring, termination, discipline, compensation, promotions, employee performance, credit, pricing, legal positions, safety instructions, or customer commitments.</w:t>
      </w:r>
    </w:p>
    <w:p w14:paraId="78EB4B7A" w14:textId="77777777" w:rsidR="004F7D31" w:rsidRDefault="002860A8">
      <w:pPr>
        <w:pStyle w:val="ListBullet"/>
        <w:spacing w:after="40"/>
      </w:pPr>
      <w:r>
        <w:t>Sending AI-generated customer, supplier, legal, HR, safety, credit, or pricing-related output without appropriate human review.</w:t>
      </w:r>
    </w:p>
    <w:p w14:paraId="75BB6E7F" w14:textId="77777777" w:rsidR="004F7D31" w:rsidRDefault="002860A8">
      <w:pPr>
        <w:pStyle w:val="ListBullet"/>
        <w:spacing w:after="40"/>
      </w:pPr>
      <w:r>
        <w:t>Using AI to impersonate another person, misrepresent authorship, create deceptive communications, or obscure accountability.</w:t>
      </w:r>
    </w:p>
    <w:p w14:paraId="328AF38D" w14:textId="77777777" w:rsidR="004F7D31" w:rsidRDefault="002860A8">
      <w:pPr>
        <w:pStyle w:val="ListBullet"/>
        <w:spacing w:after="40"/>
      </w:pPr>
      <w:r>
        <w:t>Using AI to bypass security controls, access restrictions, export controls, contracts, confidentiality obligations, or intellectual property restrictions.</w:t>
      </w:r>
    </w:p>
    <w:p w14:paraId="17AE33FA" w14:textId="77777777" w:rsidR="004F7D31" w:rsidRDefault="002860A8">
      <w:pPr>
        <w:pStyle w:val="ListBullet"/>
        <w:spacing w:after="40"/>
      </w:pPr>
      <w:r>
        <w:t>Using AI to generate code, macros, scripts, formulas, integrations, or system automation that touches company data or systems without IT review.</w:t>
      </w:r>
    </w:p>
    <w:p w14:paraId="110CC9CD" w14:textId="77777777" w:rsidR="004F7D31" w:rsidRDefault="002860A8">
      <w:pPr>
        <w:pStyle w:val="ListBullet"/>
        <w:spacing w:after="40"/>
      </w:pPr>
      <w:r>
        <w:t>Using AI-generated information as the sole source for business decisions when accuracy, source authority, or context cannot be verified.</w:t>
      </w:r>
    </w:p>
    <w:p w14:paraId="51FC78D2" w14:textId="77777777" w:rsidR="005C7E11" w:rsidRDefault="005C7E11">
      <w:pPr>
        <w:spacing w:after="200" w:line="276" w:lineRule="auto"/>
        <w:rPr>
          <w:rFonts w:eastAsiaTheme="majorEastAsia" w:cstheme="majorBidi"/>
          <w:b/>
          <w:bCs/>
          <w:color w:val="152342"/>
          <w:sz w:val="32"/>
          <w:szCs w:val="28"/>
        </w:rPr>
      </w:pPr>
      <w:r>
        <w:br w:type="page"/>
      </w:r>
    </w:p>
    <w:p w14:paraId="32A677FE" w14:textId="2703A5CD" w:rsidR="004F7D31" w:rsidRDefault="002860A8">
      <w:pPr>
        <w:pStyle w:val="Heading1"/>
      </w:pPr>
      <w:bookmarkStart w:id="7" w:name="_Toc233198764"/>
      <w:r>
        <w:rPr>
          <w:rFonts w:ascii="Aptos" w:hAnsi="Aptos"/>
        </w:rPr>
        <w:lastRenderedPageBreak/>
        <w:t>Data and Information Boundaries</w:t>
      </w:r>
      <w:bookmarkEnd w:id="7"/>
    </w:p>
    <w:p w14:paraId="37561FCB" w14:textId="77777777" w:rsidR="004F7D31" w:rsidRDefault="002860A8">
      <w:r>
        <w:t>Employees must understand what information may be used in AI tools. When in doubt, employees should assume information is restricted until they confirm otherwise with their manager, data owner, or [AI policy owner].</w:t>
      </w:r>
    </w:p>
    <w:tbl>
      <w:tblPr>
        <w:tblStyle w:val="TableGrid"/>
        <w:tblW w:w="0" w:type="auto"/>
        <w:jc w:val="center"/>
        <w:tblLook w:val="04A0" w:firstRow="1" w:lastRow="0" w:firstColumn="1" w:lastColumn="0" w:noHBand="0" w:noVBand="1"/>
      </w:tblPr>
      <w:tblGrid>
        <w:gridCol w:w="1818"/>
        <w:gridCol w:w="4860"/>
        <w:gridCol w:w="3330"/>
      </w:tblGrid>
      <w:tr w:rsidR="004F7D31" w14:paraId="0A214AEB" w14:textId="77777777" w:rsidTr="005C7E11">
        <w:trPr>
          <w:jc w:val="center"/>
        </w:trPr>
        <w:tc>
          <w:tcPr>
            <w:tcW w:w="1818" w:type="dxa"/>
            <w:shd w:val="clear" w:color="auto" w:fill="152342"/>
            <w:vAlign w:val="center"/>
          </w:tcPr>
          <w:p w14:paraId="7E0E8463" w14:textId="77777777" w:rsidR="004F7D31" w:rsidRDefault="002860A8">
            <w:pPr>
              <w:spacing w:after="0"/>
            </w:pPr>
            <w:r>
              <w:rPr>
                <w:b/>
                <w:color w:val="FFFFFF"/>
                <w:sz w:val="18"/>
              </w:rPr>
              <w:t>Category</w:t>
            </w:r>
          </w:p>
        </w:tc>
        <w:tc>
          <w:tcPr>
            <w:tcW w:w="4860" w:type="dxa"/>
            <w:shd w:val="clear" w:color="auto" w:fill="152342"/>
            <w:vAlign w:val="center"/>
          </w:tcPr>
          <w:p w14:paraId="0DF9BB69" w14:textId="77777777" w:rsidR="004F7D31" w:rsidRDefault="002860A8">
            <w:pPr>
              <w:spacing w:after="0"/>
            </w:pPr>
            <w:r>
              <w:rPr>
                <w:b/>
                <w:color w:val="FFFFFF"/>
                <w:sz w:val="18"/>
              </w:rPr>
              <w:t>Examples</w:t>
            </w:r>
          </w:p>
        </w:tc>
        <w:tc>
          <w:tcPr>
            <w:tcW w:w="3330" w:type="dxa"/>
            <w:shd w:val="clear" w:color="auto" w:fill="152342"/>
            <w:vAlign w:val="center"/>
          </w:tcPr>
          <w:p w14:paraId="40975EEC" w14:textId="77777777" w:rsidR="004F7D31" w:rsidRDefault="002860A8">
            <w:pPr>
              <w:spacing w:after="0"/>
            </w:pPr>
            <w:r>
              <w:rPr>
                <w:b/>
                <w:color w:val="FFFFFF"/>
                <w:sz w:val="18"/>
              </w:rPr>
              <w:t>AI use rule</w:t>
            </w:r>
          </w:p>
        </w:tc>
      </w:tr>
      <w:tr w:rsidR="004F7D31" w14:paraId="23A65DD5" w14:textId="77777777" w:rsidTr="005C7E11">
        <w:trPr>
          <w:jc w:val="center"/>
        </w:trPr>
        <w:tc>
          <w:tcPr>
            <w:tcW w:w="1818" w:type="dxa"/>
          </w:tcPr>
          <w:p w14:paraId="3A43E247" w14:textId="77777777" w:rsidR="004F7D31" w:rsidRDefault="002860A8">
            <w:pPr>
              <w:spacing w:after="0"/>
            </w:pPr>
            <w:r>
              <w:rPr>
                <w:sz w:val="18"/>
              </w:rPr>
              <w:t>Public information</w:t>
            </w:r>
          </w:p>
        </w:tc>
        <w:tc>
          <w:tcPr>
            <w:tcW w:w="4860" w:type="dxa"/>
          </w:tcPr>
          <w:p w14:paraId="594C8D84" w14:textId="77777777" w:rsidR="004F7D31" w:rsidRDefault="002860A8">
            <w:pPr>
              <w:spacing w:after="0"/>
            </w:pPr>
            <w:r>
              <w:rPr>
                <w:sz w:val="18"/>
              </w:rPr>
              <w:t>Information already approved for public use, such as published product brochures, public website content, public job postings, or approved marketing copy.</w:t>
            </w:r>
          </w:p>
        </w:tc>
        <w:tc>
          <w:tcPr>
            <w:tcW w:w="3330" w:type="dxa"/>
          </w:tcPr>
          <w:p w14:paraId="68DDE4FB" w14:textId="77777777" w:rsidR="004F7D31" w:rsidRDefault="002860A8">
            <w:pPr>
              <w:spacing w:after="0"/>
            </w:pPr>
            <w:r>
              <w:rPr>
                <w:sz w:val="18"/>
              </w:rPr>
              <w:t>Allowed in approved tools, subject to normal review standards.</w:t>
            </w:r>
          </w:p>
        </w:tc>
      </w:tr>
      <w:tr w:rsidR="004F7D31" w14:paraId="16BA2238" w14:textId="77777777" w:rsidTr="005C7E11">
        <w:trPr>
          <w:jc w:val="center"/>
        </w:trPr>
        <w:tc>
          <w:tcPr>
            <w:tcW w:w="1818" w:type="dxa"/>
          </w:tcPr>
          <w:p w14:paraId="406A7664" w14:textId="77777777" w:rsidR="004F7D31" w:rsidRDefault="002860A8">
            <w:pPr>
              <w:spacing w:after="0"/>
            </w:pPr>
            <w:r>
              <w:rPr>
                <w:sz w:val="18"/>
              </w:rPr>
              <w:t>Internal business information</w:t>
            </w:r>
          </w:p>
        </w:tc>
        <w:tc>
          <w:tcPr>
            <w:tcW w:w="4860" w:type="dxa"/>
          </w:tcPr>
          <w:p w14:paraId="4F4CB524" w14:textId="77777777" w:rsidR="004F7D31" w:rsidRDefault="002860A8">
            <w:pPr>
              <w:spacing w:after="0"/>
            </w:pPr>
            <w:r>
              <w:rPr>
                <w:sz w:val="18"/>
              </w:rPr>
              <w:t>Routine internal information not intended for public release, such as internal notes, process drafts, non-sensitive training content, and general business planning materials.</w:t>
            </w:r>
          </w:p>
        </w:tc>
        <w:tc>
          <w:tcPr>
            <w:tcW w:w="3330" w:type="dxa"/>
          </w:tcPr>
          <w:p w14:paraId="4CCE059C" w14:textId="77777777" w:rsidR="004F7D31" w:rsidRDefault="002860A8">
            <w:pPr>
              <w:spacing w:after="0"/>
            </w:pPr>
            <w:r>
              <w:rPr>
                <w:sz w:val="18"/>
              </w:rPr>
              <w:t>Allowed only in approved tools when there is a legitimate business purpose and no restricted information is included.</w:t>
            </w:r>
          </w:p>
        </w:tc>
      </w:tr>
      <w:tr w:rsidR="004F7D31" w14:paraId="5B185274" w14:textId="77777777" w:rsidTr="005C7E11">
        <w:trPr>
          <w:jc w:val="center"/>
        </w:trPr>
        <w:tc>
          <w:tcPr>
            <w:tcW w:w="1818" w:type="dxa"/>
          </w:tcPr>
          <w:p w14:paraId="7DBF6B13" w14:textId="77777777" w:rsidR="004F7D31" w:rsidRDefault="002860A8">
            <w:pPr>
              <w:spacing w:after="0"/>
            </w:pPr>
            <w:r>
              <w:rPr>
                <w:sz w:val="18"/>
              </w:rPr>
              <w:t>Confidential business information</w:t>
            </w:r>
          </w:p>
        </w:tc>
        <w:tc>
          <w:tcPr>
            <w:tcW w:w="4860" w:type="dxa"/>
          </w:tcPr>
          <w:p w14:paraId="337BA29A" w14:textId="77777777" w:rsidR="004F7D31" w:rsidRDefault="002860A8">
            <w:pPr>
              <w:spacing w:after="0"/>
            </w:pPr>
            <w:r>
              <w:rPr>
                <w:sz w:val="18"/>
              </w:rPr>
              <w:t>Customer lists, branch performance, supplier programs, internal pricing discussion, sales strategy, purchasing plans, non-public financial information, project information, and proprietary process details.</w:t>
            </w:r>
          </w:p>
        </w:tc>
        <w:tc>
          <w:tcPr>
            <w:tcW w:w="3330" w:type="dxa"/>
          </w:tcPr>
          <w:p w14:paraId="2919BA99" w14:textId="77777777" w:rsidR="004F7D31" w:rsidRDefault="002860A8">
            <w:pPr>
              <w:spacing w:after="0"/>
            </w:pPr>
            <w:r>
              <w:rPr>
                <w:sz w:val="18"/>
              </w:rPr>
              <w:t>Use only when the approved tool, use case, and data boundaries have been reviewed. Human review required.</w:t>
            </w:r>
          </w:p>
        </w:tc>
      </w:tr>
      <w:tr w:rsidR="004F7D31" w14:paraId="6641868D" w14:textId="77777777" w:rsidTr="005C7E11">
        <w:trPr>
          <w:jc w:val="center"/>
        </w:trPr>
        <w:tc>
          <w:tcPr>
            <w:tcW w:w="1818" w:type="dxa"/>
          </w:tcPr>
          <w:p w14:paraId="4F2001EF" w14:textId="77777777" w:rsidR="004F7D31" w:rsidRDefault="002860A8">
            <w:pPr>
              <w:spacing w:after="0"/>
            </w:pPr>
            <w:r>
              <w:rPr>
                <w:sz w:val="18"/>
              </w:rPr>
              <w:t>Restricted or highly sensitive information</w:t>
            </w:r>
          </w:p>
        </w:tc>
        <w:tc>
          <w:tcPr>
            <w:tcW w:w="4860" w:type="dxa"/>
          </w:tcPr>
          <w:p w14:paraId="19F706D7" w14:textId="77777777" w:rsidR="004F7D31" w:rsidRDefault="002860A8">
            <w:pPr>
              <w:spacing w:after="0"/>
            </w:pPr>
            <w:r>
              <w:rPr>
                <w:sz w:val="18"/>
              </w:rPr>
              <w:t>Customer PII, employee data, payroll, benefits, credit information, contracts, legal matters, cybersecurity details, supplier agreements, pricing logic, margin strategy, bids, bank information, sensitive financials, regulated data, and safety-critical information.</w:t>
            </w:r>
          </w:p>
        </w:tc>
        <w:tc>
          <w:tcPr>
            <w:tcW w:w="3330" w:type="dxa"/>
          </w:tcPr>
          <w:p w14:paraId="34CE37DA" w14:textId="77777777" w:rsidR="004F7D31" w:rsidRDefault="002860A8">
            <w:pPr>
              <w:spacing w:after="0"/>
            </w:pPr>
            <w:r>
              <w:rPr>
                <w:sz w:val="18"/>
              </w:rPr>
              <w:t>Do not use in AI tools unless explicitly approved for the specific tool, data type, workflow, and review process.</w:t>
            </w:r>
          </w:p>
        </w:tc>
      </w:tr>
    </w:tbl>
    <w:p w14:paraId="7AD3BFB0" w14:textId="77777777" w:rsidR="004F7D31" w:rsidRDefault="004F7D31"/>
    <w:p w14:paraId="286DB56E" w14:textId="77777777" w:rsidR="004F7D31" w:rsidRDefault="002860A8">
      <w:r>
        <w:t>Employees must not paste, upload, connect, or expose restricted information to AI tools unless the specific tool and use case have been approved for that information. This includes copying data into prompts, uploading spreadsheets, connecting file repositories, enabling plugins or extensions, connecting email or calendar access, or authorizing an AI system to access business systems.</w:t>
      </w:r>
    </w:p>
    <w:p w14:paraId="13D6056B" w14:textId="290ABE6E" w:rsidR="004F7D31" w:rsidRDefault="002860A8">
      <w:pPr>
        <w:pStyle w:val="Heading1"/>
      </w:pPr>
      <w:bookmarkStart w:id="8" w:name="_Toc233198765"/>
      <w:r>
        <w:rPr>
          <w:rFonts w:ascii="Aptos" w:hAnsi="Aptos"/>
        </w:rPr>
        <w:t>Human Review and Accountability</w:t>
      </w:r>
      <w:bookmarkEnd w:id="8"/>
    </w:p>
    <w:p w14:paraId="149AA627" w14:textId="77777777" w:rsidR="004F7D31" w:rsidRDefault="002860A8">
      <w:r>
        <w:t>AI output must be treated as a draft or recommendation unless a specific workflow has been approved with defined controls. Employees are responsible for reviewing AI output before using it in business work. The review standard increases when output affects customers, suppliers, employees, pricing, credit, operations, safety, contracts, compliance, or company commitments.</w:t>
      </w:r>
    </w:p>
    <w:p w14:paraId="0BE4D633" w14:textId="77777777" w:rsidR="004F7D31" w:rsidRDefault="002860A8">
      <w:r>
        <w:t>Before relying on AI output, employees must review for:</w:t>
      </w:r>
    </w:p>
    <w:p w14:paraId="64FA268F" w14:textId="77777777" w:rsidR="004F7D31" w:rsidRDefault="002860A8">
      <w:pPr>
        <w:pStyle w:val="ListBullet"/>
        <w:spacing w:after="40"/>
      </w:pPr>
      <w:r>
        <w:t>Accuracy and factual correctness.</w:t>
      </w:r>
    </w:p>
    <w:p w14:paraId="6BA63974" w14:textId="77777777" w:rsidR="004F7D31" w:rsidRDefault="002860A8">
      <w:pPr>
        <w:pStyle w:val="ListBullet"/>
        <w:spacing w:after="40"/>
      </w:pPr>
      <w:r>
        <w:t>Missing context, assumptions, or incomplete source material.</w:t>
      </w:r>
    </w:p>
    <w:p w14:paraId="62F6FA7E" w14:textId="77777777" w:rsidR="004F7D31" w:rsidRDefault="002860A8">
      <w:pPr>
        <w:pStyle w:val="ListBullet"/>
        <w:spacing w:after="40"/>
      </w:pPr>
      <w:r>
        <w:t>Unsupported claims, invented details, or hallucinations.</w:t>
      </w:r>
    </w:p>
    <w:p w14:paraId="37F4AE95" w14:textId="77777777" w:rsidR="004F7D31" w:rsidRDefault="002860A8">
      <w:pPr>
        <w:pStyle w:val="ListBullet"/>
        <w:spacing w:after="40"/>
      </w:pPr>
      <w:r>
        <w:t>Tone, clarity, and audience fit.</w:t>
      </w:r>
    </w:p>
    <w:p w14:paraId="40DA58CE" w14:textId="77777777" w:rsidR="004F7D31" w:rsidRDefault="002860A8">
      <w:pPr>
        <w:pStyle w:val="ListBullet"/>
        <w:spacing w:after="40"/>
      </w:pPr>
      <w:r>
        <w:t>Customer, supplier, employee, or business commitments that require confirmation.</w:t>
      </w:r>
    </w:p>
    <w:p w14:paraId="138DA60A" w14:textId="77777777" w:rsidR="004F7D31" w:rsidRDefault="002860A8">
      <w:pPr>
        <w:pStyle w:val="ListBullet"/>
        <w:spacing w:after="40"/>
      </w:pPr>
      <w:r>
        <w:t>Potential bias, unfairness, or inappropriate language.</w:t>
      </w:r>
    </w:p>
    <w:p w14:paraId="3C2780E2" w14:textId="0DAF0684" w:rsidR="004F7D31" w:rsidRDefault="002860A8">
      <w:pPr>
        <w:pStyle w:val="ListBullet"/>
        <w:spacing w:after="40"/>
      </w:pPr>
      <w:r>
        <w:t>Alignment with company policy, legal obligations, and operating standards.</w:t>
      </w:r>
      <w:r w:rsidR="00C82D4D">
        <w:br/>
      </w:r>
    </w:p>
    <w:tbl>
      <w:tblPr>
        <w:tblW w:w="0" w:type="auto"/>
        <w:jc w:val="center"/>
        <w:tblLook w:val="04A0" w:firstRow="1" w:lastRow="0" w:firstColumn="1" w:lastColumn="0" w:noHBand="0" w:noVBand="1"/>
      </w:tblPr>
      <w:tblGrid>
        <w:gridCol w:w="9792"/>
      </w:tblGrid>
      <w:tr w:rsidR="004F7D31" w14:paraId="0FFFB08B" w14:textId="77777777">
        <w:trPr>
          <w:jc w:val="center"/>
        </w:trPr>
        <w:tc>
          <w:tcPr>
            <w:tcW w:w="9792" w:type="dxa"/>
            <w:tcBorders>
              <w:top w:val="single" w:sz="8" w:space="0" w:color="152342"/>
              <w:left w:val="single" w:sz="8" w:space="0" w:color="152342"/>
              <w:bottom w:val="single" w:sz="8" w:space="0" w:color="152342"/>
              <w:right w:val="single" w:sz="8" w:space="0" w:color="152342"/>
            </w:tcBorders>
            <w:shd w:val="clear" w:color="auto" w:fill="DDE6F2"/>
          </w:tcPr>
          <w:p w14:paraId="5288413B" w14:textId="77777777" w:rsidR="004F7D31" w:rsidRDefault="002860A8">
            <w:pPr>
              <w:spacing w:after="80"/>
            </w:pPr>
            <w:r>
              <w:rPr>
                <w:b/>
                <w:color w:val="152342"/>
              </w:rPr>
              <w:t>Second-pass critique expectation</w:t>
            </w:r>
          </w:p>
          <w:p w14:paraId="503B5A30" w14:textId="77777777" w:rsidR="004F7D31" w:rsidRDefault="002860A8">
            <w:pPr>
              <w:spacing w:after="0"/>
            </w:pPr>
            <w:r>
              <w:rPr>
                <w:sz w:val="19"/>
              </w:rPr>
              <w:t>Employees are encouraged to ask the AI tool to critique its own output before business use. A good second-pass prompt asks the tool to identify assumptions, missing data, unsupported claims, risky commitments, unclear language, and anything that should be verified by a human before use.</w:t>
            </w:r>
          </w:p>
        </w:tc>
      </w:tr>
    </w:tbl>
    <w:p w14:paraId="5F247473" w14:textId="0A120513" w:rsidR="004F7D31" w:rsidRDefault="002860A8">
      <w:pPr>
        <w:pStyle w:val="Heading1"/>
      </w:pPr>
      <w:bookmarkStart w:id="9" w:name="_Toc233198766"/>
      <w:r>
        <w:rPr>
          <w:rFonts w:ascii="Aptos" w:hAnsi="Aptos"/>
        </w:rPr>
        <w:lastRenderedPageBreak/>
        <w:t>Customer, Supplier, Employee, and Operational Use</w:t>
      </w:r>
      <w:bookmarkEnd w:id="9"/>
    </w:p>
    <w:p w14:paraId="14944336" w14:textId="77777777" w:rsidR="004F7D31" w:rsidRDefault="002860A8">
      <w:r>
        <w:t>Certain work areas require higher care because they affect relationships, commitments, legal exposure, employee trust, or operational execution. Employees should follow the guidance below.</w:t>
      </w:r>
    </w:p>
    <w:tbl>
      <w:tblPr>
        <w:tblStyle w:val="TableGrid"/>
        <w:tblW w:w="0" w:type="auto"/>
        <w:jc w:val="center"/>
        <w:tblLook w:val="04A0" w:firstRow="1" w:lastRow="0" w:firstColumn="1" w:lastColumn="0" w:noHBand="0" w:noVBand="1"/>
      </w:tblPr>
      <w:tblGrid>
        <w:gridCol w:w="1638"/>
        <w:gridCol w:w="8370"/>
      </w:tblGrid>
      <w:tr w:rsidR="004F7D31" w14:paraId="1577E5A5" w14:textId="77777777" w:rsidTr="003512F0">
        <w:trPr>
          <w:jc w:val="center"/>
        </w:trPr>
        <w:tc>
          <w:tcPr>
            <w:tcW w:w="1638" w:type="dxa"/>
            <w:shd w:val="clear" w:color="auto" w:fill="152342"/>
            <w:vAlign w:val="center"/>
          </w:tcPr>
          <w:p w14:paraId="16E32385" w14:textId="77777777" w:rsidR="004F7D31" w:rsidRDefault="002860A8">
            <w:pPr>
              <w:spacing w:after="0"/>
            </w:pPr>
            <w:r>
              <w:rPr>
                <w:b/>
                <w:color w:val="FFFFFF"/>
                <w:sz w:val="18"/>
              </w:rPr>
              <w:t>Work area</w:t>
            </w:r>
          </w:p>
        </w:tc>
        <w:tc>
          <w:tcPr>
            <w:tcW w:w="8370" w:type="dxa"/>
            <w:shd w:val="clear" w:color="auto" w:fill="152342"/>
            <w:vAlign w:val="center"/>
          </w:tcPr>
          <w:p w14:paraId="22D661EF" w14:textId="77777777" w:rsidR="004F7D31" w:rsidRDefault="002860A8">
            <w:pPr>
              <w:spacing w:after="0"/>
            </w:pPr>
            <w:r>
              <w:rPr>
                <w:b/>
                <w:color w:val="FFFFFF"/>
                <w:sz w:val="18"/>
              </w:rPr>
              <w:t>Policy guidance</w:t>
            </w:r>
          </w:p>
        </w:tc>
      </w:tr>
      <w:tr w:rsidR="004F7D31" w14:paraId="7E931C71" w14:textId="77777777" w:rsidTr="003512F0">
        <w:trPr>
          <w:jc w:val="center"/>
        </w:trPr>
        <w:tc>
          <w:tcPr>
            <w:tcW w:w="1638" w:type="dxa"/>
          </w:tcPr>
          <w:p w14:paraId="33B199EC" w14:textId="77777777" w:rsidR="004F7D31" w:rsidRDefault="002860A8">
            <w:pPr>
              <w:spacing w:after="0"/>
            </w:pPr>
            <w:r>
              <w:rPr>
                <w:sz w:val="18"/>
              </w:rPr>
              <w:t>Customer communication</w:t>
            </w:r>
          </w:p>
        </w:tc>
        <w:tc>
          <w:tcPr>
            <w:tcW w:w="8370" w:type="dxa"/>
          </w:tcPr>
          <w:p w14:paraId="3F6AC84E" w14:textId="77777777" w:rsidR="004F7D31" w:rsidRDefault="002860A8">
            <w:pPr>
              <w:spacing w:after="0"/>
            </w:pPr>
            <w:r>
              <w:rPr>
                <w:sz w:val="18"/>
              </w:rPr>
              <w:t>AI may help draft customer responses, but employees must verify order status, inventory availability, lead times, substitutions, pricing, freight commitments, and promises before sending.</w:t>
            </w:r>
          </w:p>
        </w:tc>
      </w:tr>
      <w:tr w:rsidR="004F7D31" w14:paraId="08E483C1" w14:textId="77777777" w:rsidTr="003512F0">
        <w:trPr>
          <w:jc w:val="center"/>
        </w:trPr>
        <w:tc>
          <w:tcPr>
            <w:tcW w:w="1638" w:type="dxa"/>
          </w:tcPr>
          <w:p w14:paraId="6CB71F86" w14:textId="77777777" w:rsidR="004F7D31" w:rsidRDefault="002860A8">
            <w:pPr>
              <w:spacing w:after="0"/>
            </w:pPr>
            <w:r>
              <w:rPr>
                <w:sz w:val="18"/>
              </w:rPr>
              <w:t>Supplier communication</w:t>
            </w:r>
          </w:p>
        </w:tc>
        <w:tc>
          <w:tcPr>
            <w:tcW w:w="8370" w:type="dxa"/>
          </w:tcPr>
          <w:p w14:paraId="484136EA" w14:textId="77777777" w:rsidR="004F7D31" w:rsidRDefault="002860A8">
            <w:pPr>
              <w:spacing w:after="0"/>
            </w:pPr>
            <w:r>
              <w:rPr>
                <w:sz w:val="18"/>
              </w:rPr>
              <w:t>AI may help organize supplier notes or draft questions, but employees must verify terms, lead times, supplier commitments, rebate programs, and commercial agreements before use.</w:t>
            </w:r>
          </w:p>
        </w:tc>
      </w:tr>
      <w:tr w:rsidR="004F7D31" w14:paraId="2423220D" w14:textId="77777777" w:rsidTr="003512F0">
        <w:trPr>
          <w:jc w:val="center"/>
        </w:trPr>
        <w:tc>
          <w:tcPr>
            <w:tcW w:w="1638" w:type="dxa"/>
          </w:tcPr>
          <w:p w14:paraId="419F474C" w14:textId="77777777" w:rsidR="004F7D31" w:rsidRDefault="002860A8">
            <w:pPr>
              <w:spacing w:after="0"/>
            </w:pPr>
            <w:r>
              <w:rPr>
                <w:sz w:val="18"/>
              </w:rPr>
              <w:t>Pricing and margin</w:t>
            </w:r>
          </w:p>
        </w:tc>
        <w:tc>
          <w:tcPr>
            <w:tcW w:w="8370" w:type="dxa"/>
          </w:tcPr>
          <w:p w14:paraId="167F13B1" w14:textId="77777777" w:rsidR="004F7D31" w:rsidRDefault="002860A8">
            <w:pPr>
              <w:spacing w:after="0"/>
            </w:pPr>
            <w:r>
              <w:rPr>
                <w:sz w:val="18"/>
              </w:rPr>
              <w:t>AI may help organize non-sensitive analysis in approved workflows, but it may not make final pricing decisions, margin decisions, rebate interpretations, or customer-specific pricing recommendations unless a formal use case has been approved.</w:t>
            </w:r>
          </w:p>
        </w:tc>
      </w:tr>
      <w:tr w:rsidR="004F7D31" w14:paraId="0C8EAB16" w14:textId="77777777" w:rsidTr="003512F0">
        <w:trPr>
          <w:jc w:val="center"/>
        </w:trPr>
        <w:tc>
          <w:tcPr>
            <w:tcW w:w="1638" w:type="dxa"/>
          </w:tcPr>
          <w:p w14:paraId="72DE21C3" w14:textId="77777777" w:rsidR="004F7D31" w:rsidRDefault="002860A8">
            <w:pPr>
              <w:spacing w:after="0"/>
            </w:pPr>
            <w:r>
              <w:rPr>
                <w:sz w:val="18"/>
              </w:rPr>
              <w:t>Credit and finance</w:t>
            </w:r>
          </w:p>
        </w:tc>
        <w:tc>
          <w:tcPr>
            <w:tcW w:w="8370" w:type="dxa"/>
          </w:tcPr>
          <w:p w14:paraId="4EC23C43" w14:textId="77777777" w:rsidR="004F7D31" w:rsidRDefault="002860A8">
            <w:pPr>
              <w:spacing w:after="0"/>
            </w:pPr>
            <w:r>
              <w:rPr>
                <w:sz w:val="18"/>
              </w:rPr>
              <w:t>AI may not make final credit decisions, payment risk judgments, financial commitments, or accounting conclusions without approved controls and qualified human review.</w:t>
            </w:r>
          </w:p>
        </w:tc>
      </w:tr>
      <w:tr w:rsidR="004F7D31" w14:paraId="0C3F4EB7" w14:textId="77777777" w:rsidTr="003512F0">
        <w:trPr>
          <w:jc w:val="center"/>
        </w:trPr>
        <w:tc>
          <w:tcPr>
            <w:tcW w:w="1638" w:type="dxa"/>
          </w:tcPr>
          <w:p w14:paraId="58462F2D" w14:textId="77777777" w:rsidR="004F7D31" w:rsidRDefault="002860A8">
            <w:pPr>
              <w:spacing w:after="0"/>
            </w:pPr>
            <w:r>
              <w:rPr>
                <w:sz w:val="18"/>
              </w:rPr>
              <w:t>HR and employee matters</w:t>
            </w:r>
          </w:p>
        </w:tc>
        <w:tc>
          <w:tcPr>
            <w:tcW w:w="8370" w:type="dxa"/>
          </w:tcPr>
          <w:p w14:paraId="178CB66E" w14:textId="77777777" w:rsidR="004F7D31" w:rsidRDefault="002860A8">
            <w:pPr>
              <w:spacing w:after="0"/>
            </w:pPr>
            <w:r>
              <w:rPr>
                <w:sz w:val="18"/>
              </w:rPr>
              <w:t>AI may assist with draft communications or training content, but it may not make final decisions related to hiring, discipline, compensation, performance, promotion, termination, or employee relations.</w:t>
            </w:r>
          </w:p>
        </w:tc>
      </w:tr>
      <w:tr w:rsidR="004F7D31" w14:paraId="534A9262" w14:textId="77777777" w:rsidTr="003512F0">
        <w:trPr>
          <w:jc w:val="center"/>
        </w:trPr>
        <w:tc>
          <w:tcPr>
            <w:tcW w:w="1638" w:type="dxa"/>
          </w:tcPr>
          <w:p w14:paraId="73BB7128" w14:textId="77777777" w:rsidR="004F7D31" w:rsidRDefault="002860A8">
            <w:pPr>
              <w:spacing w:after="0"/>
            </w:pPr>
            <w:r>
              <w:rPr>
                <w:sz w:val="18"/>
              </w:rPr>
              <w:t>Warehouse and operations</w:t>
            </w:r>
          </w:p>
        </w:tc>
        <w:tc>
          <w:tcPr>
            <w:tcW w:w="8370" w:type="dxa"/>
          </w:tcPr>
          <w:p w14:paraId="78F111F3" w14:textId="77777777" w:rsidR="004F7D31" w:rsidRDefault="002860A8">
            <w:pPr>
              <w:spacing w:after="0"/>
            </w:pPr>
            <w:r>
              <w:rPr>
                <w:sz w:val="18"/>
              </w:rPr>
              <w:t>AI may assist with analysis, summaries, SOP drafts, and exception research. AI may not direct safety-critical work, equipment operation, or shipment commitments without approved workflow controls and human accountability.</w:t>
            </w:r>
          </w:p>
        </w:tc>
      </w:tr>
      <w:tr w:rsidR="004F7D31" w14:paraId="695C6541" w14:textId="77777777" w:rsidTr="003512F0">
        <w:trPr>
          <w:jc w:val="center"/>
        </w:trPr>
        <w:tc>
          <w:tcPr>
            <w:tcW w:w="1638" w:type="dxa"/>
          </w:tcPr>
          <w:p w14:paraId="6EDEA439" w14:textId="77777777" w:rsidR="004F7D31" w:rsidRDefault="002860A8">
            <w:pPr>
              <w:spacing w:after="0"/>
            </w:pPr>
            <w:r>
              <w:rPr>
                <w:sz w:val="18"/>
              </w:rPr>
              <w:t>Marketing and content</w:t>
            </w:r>
          </w:p>
        </w:tc>
        <w:tc>
          <w:tcPr>
            <w:tcW w:w="8370" w:type="dxa"/>
          </w:tcPr>
          <w:p w14:paraId="6E4F0AC0" w14:textId="77777777" w:rsidR="004F7D31" w:rsidRDefault="002860A8">
            <w:pPr>
              <w:spacing w:after="0"/>
            </w:pPr>
            <w:r>
              <w:rPr>
                <w:sz w:val="18"/>
              </w:rPr>
              <w:t>AI may assist with drafts, outlines, and rewrites. All content must be reviewed for accuracy, brand fit, claims, customer relevance, and legal or supplier restrictions before release.</w:t>
            </w:r>
          </w:p>
        </w:tc>
      </w:tr>
    </w:tbl>
    <w:p w14:paraId="18A5520C" w14:textId="77777777" w:rsidR="004F7D31" w:rsidRDefault="004F7D31"/>
    <w:p w14:paraId="19494B43" w14:textId="60627662" w:rsidR="004F7D31" w:rsidRDefault="002860A8">
      <w:pPr>
        <w:pStyle w:val="Heading1"/>
      </w:pPr>
      <w:bookmarkStart w:id="10" w:name="_Toc233198767"/>
      <w:r>
        <w:rPr>
          <w:rFonts w:ascii="Aptos" w:hAnsi="Aptos"/>
        </w:rPr>
        <w:t>Prompting, Output Quality, and Work Slop Prevention</w:t>
      </w:r>
      <w:bookmarkEnd w:id="10"/>
    </w:p>
    <w:p w14:paraId="2BD905F5" w14:textId="77777777" w:rsidR="004F7D31" w:rsidRDefault="002860A8">
      <w:r>
        <w:t>Good AI use begins with clear business instruction. Employees should define the work before generating output. A strong prompt usually includes the purpose, audience, context, source material, constraints, desired format, and review standard.</w:t>
      </w:r>
    </w:p>
    <w:p w14:paraId="3FC65FD2" w14:textId="77777777" w:rsidR="004F7D31" w:rsidRPr="00D06409" w:rsidRDefault="002860A8">
      <w:pPr>
        <w:rPr>
          <w:b/>
          <w:bCs/>
        </w:rPr>
      </w:pPr>
      <w:r w:rsidRPr="00D06409">
        <w:rPr>
          <w:b/>
          <w:bCs/>
        </w:rPr>
        <w:t>Before using AI, employees should ask:</w:t>
      </w:r>
    </w:p>
    <w:p w14:paraId="3856D0A2" w14:textId="77777777" w:rsidR="004F7D31" w:rsidRDefault="002860A8">
      <w:pPr>
        <w:pStyle w:val="ListBullet"/>
        <w:spacing w:after="40"/>
      </w:pPr>
      <w:r>
        <w:t>What decision or task is this supporting?</w:t>
      </w:r>
    </w:p>
    <w:p w14:paraId="758EAC6B" w14:textId="77777777" w:rsidR="004F7D31" w:rsidRDefault="002860A8">
      <w:pPr>
        <w:pStyle w:val="ListBullet"/>
        <w:spacing w:after="40"/>
      </w:pPr>
      <w:r>
        <w:t>Who is the audience?</w:t>
      </w:r>
    </w:p>
    <w:p w14:paraId="7D796F57" w14:textId="77777777" w:rsidR="004F7D31" w:rsidRDefault="002860A8">
      <w:pPr>
        <w:pStyle w:val="ListBullet"/>
        <w:spacing w:after="40"/>
      </w:pPr>
      <w:r>
        <w:t>What information is approved for use?</w:t>
      </w:r>
    </w:p>
    <w:p w14:paraId="36B16128" w14:textId="77777777" w:rsidR="004F7D31" w:rsidRDefault="002860A8">
      <w:pPr>
        <w:pStyle w:val="ListBullet"/>
        <w:spacing w:after="40"/>
      </w:pPr>
      <w:r>
        <w:t>What must be verified?</w:t>
      </w:r>
    </w:p>
    <w:p w14:paraId="4DE8FB72" w14:textId="77777777" w:rsidR="004F7D31" w:rsidRDefault="002860A8">
      <w:pPr>
        <w:pStyle w:val="ListBullet"/>
        <w:spacing w:after="40"/>
      </w:pPr>
      <w:r>
        <w:t>What should the AI not do?</w:t>
      </w:r>
    </w:p>
    <w:p w14:paraId="7E031BED" w14:textId="77777777" w:rsidR="004F7D31" w:rsidRDefault="002860A8">
      <w:pPr>
        <w:pStyle w:val="ListBullet"/>
        <w:spacing w:after="40"/>
      </w:pPr>
      <w:r>
        <w:t>What would make the output useful?</w:t>
      </w:r>
    </w:p>
    <w:p w14:paraId="5853594B" w14:textId="66F5D927" w:rsidR="004F7D31" w:rsidRDefault="002860A8">
      <w:pPr>
        <w:pStyle w:val="ListBullet"/>
        <w:spacing w:after="40"/>
      </w:pPr>
      <w:r>
        <w:t>Who reviews the output before it is used?</w:t>
      </w:r>
      <w:r w:rsidR="00D06409">
        <w:br/>
      </w:r>
    </w:p>
    <w:p w14:paraId="10957860" w14:textId="77777777" w:rsidR="004F7D31" w:rsidRDefault="002860A8">
      <w:r>
        <w:t>AI can create work slop: polished output that looks useful but does not improve the work. Employees and managers should watch for long drafts that do not answer the question, generic content, unnecessary summaries, unsupported claims, unclear ownership, and documents that create more review burden than value.</w:t>
      </w:r>
    </w:p>
    <w:p w14:paraId="032D5CFB" w14:textId="77777777" w:rsidR="009B3289" w:rsidRDefault="009B3289">
      <w:pPr>
        <w:spacing w:after="200" w:line="276" w:lineRule="auto"/>
        <w:rPr>
          <w:rFonts w:eastAsiaTheme="majorEastAsia" w:cstheme="majorBidi"/>
          <w:b/>
          <w:bCs/>
          <w:color w:val="152342"/>
          <w:sz w:val="32"/>
          <w:szCs w:val="28"/>
        </w:rPr>
      </w:pPr>
      <w:bookmarkStart w:id="11" w:name="_Toc233198768"/>
      <w:r>
        <w:br w:type="page"/>
      </w:r>
    </w:p>
    <w:p w14:paraId="5137C474" w14:textId="17F73EB5" w:rsidR="004F7D31" w:rsidRDefault="002860A8">
      <w:pPr>
        <w:pStyle w:val="Heading1"/>
      </w:pPr>
      <w:r>
        <w:rPr>
          <w:rFonts w:ascii="Aptos" w:hAnsi="Aptos"/>
        </w:rPr>
        <w:lastRenderedPageBreak/>
        <w:t>Agents, Automation, and System Actions</w:t>
      </w:r>
      <w:bookmarkEnd w:id="11"/>
    </w:p>
    <w:p w14:paraId="63787E37" w14:textId="77777777" w:rsidR="004F7D31" w:rsidRDefault="002860A8">
      <w:r>
        <w:t>AI that drafts or summarizes work is different from AI that acts inside business systems. Any AI-enabled workflow that updates records, triggers messages, routes approvals, changes pricing, recommends credit action, initiates customer communication, creates purchase orders, changes inventory data, creates tasks, or takes action across systems requires review and approval before use.</w:t>
      </w:r>
    </w:p>
    <w:p w14:paraId="208EE949" w14:textId="033EEB5B" w:rsidR="004F7D31" w:rsidRDefault="002860A8">
      <w:r>
        <w:t xml:space="preserve">Before approving an AI agent or AI-enabled automation, </w:t>
      </w:r>
      <w:r w:rsidR="00E86DAF" w:rsidRPr="00E86DAF">
        <w:rPr>
          <w:b/>
          <w:color w:val="FF0000"/>
        </w:rPr>
        <w:t>[Your Company Name]</w:t>
      </w:r>
      <w:r>
        <w:t xml:space="preserve"> must define:</w:t>
      </w:r>
    </w:p>
    <w:p w14:paraId="25985F2D" w14:textId="77777777" w:rsidR="004F7D31" w:rsidRDefault="002860A8">
      <w:pPr>
        <w:pStyle w:val="ListBullet"/>
        <w:spacing w:after="40"/>
      </w:pPr>
      <w:r>
        <w:t>Trigger: What starts the workflow?</w:t>
      </w:r>
    </w:p>
    <w:p w14:paraId="61880A07" w14:textId="77777777" w:rsidR="004F7D31" w:rsidRDefault="002860A8">
      <w:pPr>
        <w:pStyle w:val="ListBullet"/>
        <w:spacing w:after="40"/>
      </w:pPr>
      <w:r>
        <w:t>Data: What information does the tool use, and is it approved?</w:t>
      </w:r>
    </w:p>
    <w:p w14:paraId="3AF58FBA" w14:textId="77777777" w:rsidR="004F7D31" w:rsidRDefault="002860A8">
      <w:pPr>
        <w:pStyle w:val="ListBullet"/>
        <w:spacing w:after="40"/>
      </w:pPr>
      <w:r>
        <w:t>Rules: What business logic guides the tool?</w:t>
      </w:r>
    </w:p>
    <w:p w14:paraId="79979C99" w14:textId="77777777" w:rsidR="004F7D31" w:rsidRDefault="002860A8">
      <w:pPr>
        <w:pStyle w:val="ListBullet"/>
        <w:spacing w:after="40"/>
      </w:pPr>
      <w:r>
        <w:t>Actions: What is the tool allowed to do?</w:t>
      </w:r>
    </w:p>
    <w:p w14:paraId="485F851B" w14:textId="77777777" w:rsidR="004F7D31" w:rsidRDefault="002860A8">
      <w:pPr>
        <w:pStyle w:val="ListBullet"/>
        <w:spacing w:after="40"/>
      </w:pPr>
      <w:r>
        <w:t>Fallback: When does the workflow escalate to a human?</w:t>
      </w:r>
    </w:p>
    <w:p w14:paraId="13822977" w14:textId="77777777" w:rsidR="004F7D31" w:rsidRDefault="002860A8">
      <w:pPr>
        <w:pStyle w:val="ListBullet"/>
        <w:spacing w:after="40"/>
      </w:pPr>
      <w:r>
        <w:t>Owner: Who owns the workflow and outcome?</w:t>
      </w:r>
    </w:p>
    <w:p w14:paraId="037D66BE" w14:textId="77777777" w:rsidR="004F7D31" w:rsidRDefault="002860A8">
      <w:pPr>
        <w:pStyle w:val="ListBullet"/>
        <w:spacing w:after="40"/>
      </w:pPr>
      <w:r>
        <w:t>Log: What activity is recorded for review, troubleshooting, and governance?</w:t>
      </w:r>
    </w:p>
    <w:p w14:paraId="7CDB3673" w14:textId="5291B0F1" w:rsidR="004F7D31" w:rsidRDefault="002860A8">
      <w:pPr>
        <w:pStyle w:val="Heading1"/>
      </w:pPr>
      <w:bookmarkStart w:id="12" w:name="_Toc233198769"/>
      <w:r>
        <w:rPr>
          <w:rFonts w:ascii="Aptos" w:hAnsi="Aptos"/>
        </w:rPr>
        <w:t>Governance, Escalation, and Use-Case Review</w:t>
      </w:r>
      <w:bookmarkEnd w:id="12"/>
    </w:p>
    <w:p w14:paraId="00C4D929" w14:textId="336A22C7" w:rsidR="004F7D31" w:rsidRDefault="00E86DAF">
      <w:r w:rsidRPr="00E86DAF">
        <w:rPr>
          <w:b/>
          <w:color w:val="FF0000"/>
        </w:rPr>
        <w:t>[Your Company Name]</w:t>
      </w:r>
      <w:r w:rsidR="002860A8">
        <w:t xml:space="preserve"> will use a risk-tiered governance approach. Low-risk personal productivity use may require only basic training and review. Business-impacting use cases require stronger ownership, review, and approval. High-risk use cases require formal review before launch or expansion.</w:t>
      </w:r>
    </w:p>
    <w:tbl>
      <w:tblPr>
        <w:tblStyle w:val="TableGrid"/>
        <w:tblW w:w="0" w:type="auto"/>
        <w:jc w:val="center"/>
        <w:tblLook w:val="04A0" w:firstRow="1" w:lastRow="0" w:firstColumn="1" w:lastColumn="0" w:noHBand="0" w:noVBand="1"/>
      </w:tblPr>
      <w:tblGrid>
        <w:gridCol w:w="1548"/>
        <w:gridCol w:w="8460"/>
      </w:tblGrid>
      <w:tr w:rsidR="004F7D31" w14:paraId="6DEB2EC5" w14:textId="77777777" w:rsidTr="00895CD3">
        <w:trPr>
          <w:jc w:val="center"/>
        </w:trPr>
        <w:tc>
          <w:tcPr>
            <w:tcW w:w="1548" w:type="dxa"/>
            <w:shd w:val="clear" w:color="auto" w:fill="152342"/>
            <w:vAlign w:val="center"/>
          </w:tcPr>
          <w:p w14:paraId="1ACBA548" w14:textId="77777777" w:rsidR="004F7D31" w:rsidRDefault="002860A8">
            <w:pPr>
              <w:spacing w:after="0"/>
            </w:pPr>
            <w:r>
              <w:rPr>
                <w:b/>
                <w:color w:val="FFFFFF"/>
                <w:sz w:val="18"/>
              </w:rPr>
              <w:t>Escalation level</w:t>
            </w:r>
          </w:p>
        </w:tc>
        <w:tc>
          <w:tcPr>
            <w:tcW w:w="8460" w:type="dxa"/>
            <w:shd w:val="clear" w:color="auto" w:fill="152342"/>
            <w:vAlign w:val="center"/>
          </w:tcPr>
          <w:p w14:paraId="11907528" w14:textId="77777777" w:rsidR="004F7D31" w:rsidRDefault="002860A8">
            <w:pPr>
              <w:spacing w:after="0"/>
            </w:pPr>
            <w:r>
              <w:rPr>
                <w:b/>
                <w:color w:val="FFFFFF"/>
                <w:sz w:val="18"/>
              </w:rPr>
              <w:t>Expected action</w:t>
            </w:r>
          </w:p>
        </w:tc>
      </w:tr>
      <w:tr w:rsidR="004F7D31" w14:paraId="63EE8731" w14:textId="77777777" w:rsidTr="00895CD3">
        <w:trPr>
          <w:jc w:val="center"/>
        </w:trPr>
        <w:tc>
          <w:tcPr>
            <w:tcW w:w="1548" w:type="dxa"/>
          </w:tcPr>
          <w:p w14:paraId="726E3CB4" w14:textId="77777777" w:rsidR="004F7D31" w:rsidRDefault="002860A8">
            <w:pPr>
              <w:spacing w:after="0"/>
            </w:pPr>
            <w:r>
              <w:rPr>
                <w:sz w:val="18"/>
              </w:rPr>
              <w:t>Step 1</w:t>
            </w:r>
          </w:p>
        </w:tc>
        <w:tc>
          <w:tcPr>
            <w:tcW w:w="8460" w:type="dxa"/>
          </w:tcPr>
          <w:p w14:paraId="0A1BB4AA" w14:textId="77777777" w:rsidR="004F7D31" w:rsidRDefault="002860A8">
            <w:pPr>
              <w:spacing w:after="0"/>
            </w:pPr>
            <w:r>
              <w:rPr>
                <w:sz w:val="18"/>
              </w:rPr>
              <w:t>Employee asks direct manager for guidance.</w:t>
            </w:r>
          </w:p>
        </w:tc>
      </w:tr>
      <w:tr w:rsidR="004F7D31" w14:paraId="75CEF699" w14:textId="77777777" w:rsidTr="00895CD3">
        <w:trPr>
          <w:jc w:val="center"/>
        </w:trPr>
        <w:tc>
          <w:tcPr>
            <w:tcW w:w="1548" w:type="dxa"/>
          </w:tcPr>
          <w:p w14:paraId="50C54DCC" w14:textId="77777777" w:rsidR="004F7D31" w:rsidRDefault="002860A8">
            <w:pPr>
              <w:spacing w:after="0"/>
            </w:pPr>
            <w:r>
              <w:rPr>
                <w:sz w:val="18"/>
              </w:rPr>
              <w:t>Step 2</w:t>
            </w:r>
          </w:p>
        </w:tc>
        <w:tc>
          <w:tcPr>
            <w:tcW w:w="8460" w:type="dxa"/>
          </w:tcPr>
          <w:p w14:paraId="3C4673A3" w14:textId="77777777" w:rsidR="004F7D31" w:rsidRDefault="002860A8">
            <w:pPr>
              <w:spacing w:after="0"/>
            </w:pPr>
            <w:r>
              <w:rPr>
                <w:sz w:val="18"/>
              </w:rPr>
              <w:t>Manager reviews the question and may consult an AI Champion or functional owner.</w:t>
            </w:r>
          </w:p>
        </w:tc>
      </w:tr>
      <w:tr w:rsidR="004F7D31" w14:paraId="1B724248" w14:textId="77777777" w:rsidTr="00895CD3">
        <w:trPr>
          <w:jc w:val="center"/>
        </w:trPr>
        <w:tc>
          <w:tcPr>
            <w:tcW w:w="1548" w:type="dxa"/>
          </w:tcPr>
          <w:p w14:paraId="1FD7493D" w14:textId="77777777" w:rsidR="004F7D31" w:rsidRDefault="002860A8">
            <w:pPr>
              <w:spacing w:after="0"/>
            </w:pPr>
            <w:r>
              <w:rPr>
                <w:sz w:val="18"/>
              </w:rPr>
              <w:t>Step 3</w:t>
            </w:r>
          </w:p>
        </w:tc>
        <w:tc>
          <w:tcPr>
            <w:tcW w:w="8460" w:type="dxa"/>
          </w:tcPr>
          <w:p w14:paraId="2121742A" w14:textId="77777777" w:rsidR="004F7D31" w:rsidRDefault="002860A8">
            <w:pPr>
              <w:spacing w:after="0"/>
            </w:pPr>
            <w:r>
              <w:rPr>
                <w:sz w:val="18"/>
              </w:rPr>
              <w:t>If the use involves data, tools, systems, security, HR, legal, credit, pricing, contracts, or customer commitments, the issue is escalated to the appropriate owner.</w:t>
            </w:r>
          </w:p>
        </w:tc>
      </w:tr>
      <w:tr w:rsidR="004F7D31" w14:paraId="67FEAEA2" w14:textId="77777777" w:rsidTr="00895CD3">
        <w:trPr>
          <w:jc w:val="center"/>
        </w:trPr>
        <w:tc>
          <w:tcPr>
            <w:tcW w:w="1548" w:type="dxa"/>
          </w:tcPr>
          <w:p w14:paraId="09658187" w14:textId="77777777" w:rsidR="004F7D31" w:rsidRDefault="002860A8">
            <w:pPr>
              <w:spacing w:after="0"/>
            </w:pPr>
            <w:r>
              <w:rPr>
                <w:sz w:val="18"/>
              </w:rPr>
              <w:t>Step 4</w:t>
            </w:r>
          </w:p>
        </w:tc>
        <w:tc>
          <w:tcPr>
            <w:tcW w:w="8460" w:type="dxa"/>
          </w:tcPr>
          <w:p w14:paraId="1626C275" w14:textId="77777777" w:rsidR="004F7D31" w:rsidRDefault="002860A8">
            <w:pPr>
              <w:spacing w:after="0"/>
            </w:pPr>
            <w:r>
              <w:rPr>
                <w:sz w:val="18"/>
              </w:rPr>
              <w:t>AI Governance Group, AI Council, or designated leadership group reviews higher-risk requests, recurring questions, and proposed new use cases.</w:t>
            </w:r>
          </w:p>
        </w:tc>
      </w:tr>
      <w:tr w:rsidR="004F7D31" w14:paraId="5AFD2DA1" w14:textId="77777777" w:rsidTr="00895CD3">
        <w:trPr>
          <w:jc w:val="center"/>
        </w:trPr>
        <w:tc>
          <w:tcPr>
            <w:tcW w:w="1548" w:type="dxa"/>
          </w:tcPr>
          <w:p w14:paraId="307E7C88" w14:textId="77777777" w:rsidR="004F7D31" w:rsidRDefault="002860A8">
            <w:pPr>
              <w:spacing w:after="0"/>
            </w:pPr>
            <w:r>
              <w:rPr>
                <w:sz w:val="18"/>
              </w:rPr>
              <w:t>Step 5</w:t>
            </w:r>
          </w:p>
        </w:tc>
        <w:tc>
          <w:tcPr>
            <w:tcW w:w="8460" w:type="dxa"/>
          </w:tcPr>
          <w:p w14:paraId="7F7C34A9" w14:textId="77777777" w:rsidR="004F7D31" w:rsidRDefault="002860A8">
            <w:pPr>
              <w:spacing w:after="0"/>
            </w:pPr>
            <w:r>
              <w:rPr>
                <w:sz w:val="18"/>
              </w:rPr>
              <w:t>Executive leadership decides on high-impact use cases, major investments, or risk exceptions.</w:t>
            </w:r>
          </w:p>
        </w:tc>
      </w:tr>
    </w:tbl>
    <w:p w14:paraId="3DCC6B9B" w14:textId="77777777" w:rsidR="004F7D31" w:rsidRDefault="004F7D31"/>
    <w:p w14:paraId="6648E549" w14:textId="77777777" w:rsidR="004F7D31" w:rsidRDefault="002860A8">
      <w:r>
        <w:t xml:space="preserve">New AI use cases, new tools, new data connections, or new AI-enabled workflows must be submitted through the AI Use Case Request Form in Appendix D or through </w:t>
      </w:r>
      <w:r w:rsidRPr="00895CD3">
        <w:rPr>
          <w:b/>
          <w:bCs/>
          <w:color w:val="FF0000"/>
        </w:rPr>
        <w:t>[company intake process]</w:t>
      </w:r>
      <w:r>
        <w:t>.</w:t>
      </w:r>
    </w:p>
    <w:p w14:paraId="15910268" w14:textId="50D26545" w:rsidR="004F7D31" w:rsidRDefault="002860A8">
      <w:pPr>
        <w:pStyle w:val="Heading1"/>
      </w:pPr>
      <w:bookmarkStart w:id="13" w:name="_Toc233198770"/>
      <w:r>
        <w:rPr>
          <w:rFonts w:ascii="Aptos" w:hAnsi="Aptos"/>
        </w:rPr>
        <w:t>Training, Awareness, and Acknowledgment</w:t>
      </w:r>
      <w:bookmarkEnd w:id="13"/>
    </w:p>
    <w:p w14:paraId="7715FDEF" w14:textId="77777777" w:rsidR="004F7D31" w:rsidRDefault="002860A8">
      <w:r>
        <w:t>Safe AI use will be trained like cybersecurity. Employees should expect recurring training, role-based examples, manager reinforcement, and updates as tools and use cases evolve. One policy acknowledgment is not enough to create safe behavior.</w:t>
      </w:r>
    </w:p>
    <w:p w14:paraId="21BBB5D5" w14:textId="77777777" w:rsidR="004F7D31" w:rsidRDefault="002860A8">
      <w:r>
        <w:t>All employees using AI for company work must complete required AI safe-use training. Training should include approved tools, prohibited data, human review, second-pass critique, work slop prevention, escalation paths, and role-based examples. Managers must complete additional training on how to reinforce safe AI use within their teams.</w:t>
      </w:r>
    </w:p>
    <w:p w14:paraId="393B7788" w14:textId="77777777" w:rsidR="004F7D31" w:rsidRDefault="002860A8">
      <w:r>
        <w:t>Employees must acknowledge that they understand the policy and agree to follow it before using approved AI tools for company work.</w:t>
      </w:r>
    </w:p>
    <w:p w14:paraId="39657D5D" w14:textId="2ECBF148" w:rsidR="004F7D31" w:rsidRDefault="002860A8">
      <w:pPr>
        <w:pStyle w:val="Heading1"/>
      </w:pPr>
      <w:bookmarkStart w:id="14" w:name="_Toc233198771"/>
      <w:r>
        <w:rPr>
          <w:rFonts w:ascii="Aptos" w:hAnsi="Aptos"/>
        </w:rPr>
        <w:lastRenderedPageBreak/>
        <w:t>Monitoring, Incidents, and Compliance</w:t>
      </w:r>
      <w:bookmarkEnd w:id="14"/>
    </w:p>
    <w:p w14:paraId="05873447" w14:textId="66219CAD" w:rsidR="004F7D31" w:rsidRDefault="00E86DAF">
      <w:r w:rsidRPr="00E86DAF">
        <w:rPr>
          <w:b/>
          <w:color w:val="FF0000"/>
        </w:rPr>
        <w:t>[Your Company Name]</w:t>
      </w:r>
      <w:r w:rsidR="002860A8">
        <w:t xml:space="preserve"> may monitor use of approved AI tools to protect company information, ensure compliance, improve training, and identify recurring policy questions. Monitoring will be conducted consistent with company policy, applicable law, and approved security practices.</w:t>
      </w:r>
    </w:p>
    <w:p w14:paraId="2EED32F4" w14:textId="77777777" w:rsidR="004F7D31" w:rsidRDefault="002860A8">
      <w:r>
        <w:t>Employees must immediately report suspected misuse, accidental disclosure, incorrect AI-generated business output, use of unapproved tools, suspicious AI behavior, or possible exposure of restricted information to [incident reporting contact].</w:t>
      </w:r>
    </w:p>
    <w:p w14:paraId="5CC88618" w14:textId="77777777" w:rsidR="004F7D31" w:rsidRDefault="002860A8">
      <w:r>
        <w:t>Violations of this policy may result in corrective action, removal of AI tool access, additional training, disciplinary action, or other measures consistent with company policy and applicable law.</w:t>
      </w:r>
    </w:p>
    <w:p w14:paraId="13CD1D30" w14:textId="770E68DA" w:rsidR="004F7D31" w:rsidRDefault="002860A8">
      <w:pPr>
        <w:pStyle w:val="Heading1"/>
      </w:pPr>
      <w:bookmarkStart w:id="15" w:name="_Toc233198772"/>
      <w:r>
        <w:rPr>
          <w:rFonts w:ascii="Aptos" w:hAnsi="Aptos"/>
        </w:rPr>
        <w:t>Exceptions and Policy Maintenance</w:t>
      </w:r>
      <w:bookmarkEnd w:id="15"/>
    </w:p>
    <w:p w14:paraId="3EE58571" w14:textId="77777777" w:rsidR="004F7D31" w:rsidRDefault="002860A8">
      <w:r>
        <w:t xml:space="preserve">Requests for exceptions must be submitted to </w:t>
      </w:r>
      <w:r w:rsidRPr="00671DBA">
        <w:rPr>
          <w:b/>
          <w:bCs/>
          <w:color w:val="FF0000"/>
        </w:rPr>
        <w:t>[AI policy owner]</w:t>
      </w:r>
      <w:r w:rsidRPr="00671DBA">
        <w:rPr>
          <w:color w:val="FF0000"/>
        </w:rPr>
        <w:t xml:space="preserve"> </w:t>
      </w:r>
      <w:r>
        <w:t>and reviewed by the appropriate business, IT/security, legal, HR, data, or executive owners depending on the risk. Exceptions must be documented, time-bound where appropriate, and reviewed periodically.</w:t>
      </w:r>
    </w:p>
    <w:p w14:paraId="063D1313" w14:textId="77777777" w:rsidR="004F7D31" w:rsidRDefault="002860A8">
      <w:r>
        <w:t>This policy should be reviewed at least quarterly during the first year of AI adoption and at least annually after that. The policy should also be reviewed when approved tools change, new AI-enabled capabilities are introduced, significant new use cases are launched, laws or regulations change, or recurring employee questions show that guidance is unclear.</w:t>
      </w:r>
    </w:p>
    <w:p w14:paraId="70117D44" w14:textId="2D8C4EDC" w:rsidR="004F7D31" w:rsidRDefault="002860A8">
      <w:pPr>
        <w:pStyle w:val="Heading1"/>
      </w:pPr>
      <w:bookmarkStart w:id="16" w:name="_Toc233198773"/>
      <w:r>
        <w:rPr>
          <w:rFonts w:ascii="Aptos" w:hAnsi="Aptos"/>
        </w:rPr>
        <w:t>Employee Acknowledgment</w:t>
      </w:r>
      <w:bookmarkEnd w:id="16"/>
    </w:p>
    <w:p w14:paraId="74B70EED" w14:textId="77777777" w:rsidR="00CB4666" w:rsidRDefault="002860A8" w:rsidP="00CB4666">
      <w:pPr>
        <w:pStyle w:val="ListParagraph"/>
        <w:numPr>
          <w:ilvl w:val="0"/>
          <w:numId w:val="10"/>
        </w:numPr>
      </w:pPr>
      <w:r>
        <w:t xml:space="preserve">I acknowledge that I have received, read, and understand the </w:t>
      </w:r>
      <w:r w:rsidR="00E86DAF" w:rsidRPr="00CB4666">
        <w:rPr>
          <w:b/>
          <w:color w:val="FF0000"/>
        </w:rPr>
        <w:t>[Your Company Name]</w:t>
      </w:r>
      <w:r>
        <w:t xml:space="preserve"> AI Usage Policy. </w:t>
      </w:r>
    </w:p>
    <w:p w14:paraId="01A90C96" w14:textId="77777777" w:rsidR="00CB4666" w:rsidRDefault="002860A8" w:rsidP="00CB4666">
      <w:pPr>
        <w:pStyle w:val="ListParagraph"/>
        <w:numPr>
          <w:ilvl w:val="0"/>
          <w:numId w:val="10"/>
        </w:numPr>
      </w:pPr>
      <w:r>
        <w:t xml:space="preserve">I agree to use AI tools only in accordance with this policy and related company guidance. </w:t>
      </w:r>
    </w:p>
    <w:p w14:paraId="69FF90D6" w14:textId="7DA6C38E" w:rsidR="004F7D31" w:rsidRDefault="002860A8" w:rsidP="00CB4666">
      <w:pPr>
        <w:pStyle w:val="ListParagraph"/>
        <w:numPr>
          <w:ilvl w:val="0"/>
          <w:numId w:val="10"/>
        </w:numPr>
      </w:pPr>
      <w:r>
        <w:t>I understand that AI output requires human review before business use and that I am responsible for escalating unclear or risky use cases.</w:t>
      </w:r>
    </w:p>
    <w:tbl>
      <w:tblPr>
        <w:tblStyle w:val="TableGrid"/>
        <w:tblW w:w="0" w:type="auto"/>
        <w:jc w:val="center"/>
        <w:tblLook w:val="04A0" w:firstRow="1" w:lastRow="0" w:firstColumn="1" w:lastColumn="0" w:noHBand="0" w:noVBand="1"/>
      </w:tblPr>
      <w:tblGrid>
        <w:gridCol w:w="2792"/>
        <w:gridCol w:w="7216"/>
      </w:tblGrid>
      <w:tr w:rsidR="004F7D31" w14:paraId="201B6861" w14:textId="77777777">
        <w:trPr>
          <w:jc w:val="center"/>
        </w:trPr>
        <w:tc>
          <w:tcPr>
            <w:tcW w:w="2880" w:type="dxa"/>
            <w:shd w:val="clear" w:color="auto" w:fill="152342"/>
            <w:vAlign w:val="center"/>
          </w:tcPr>
          <w:p w14:paraId="0C645AC1" w14:textId="77777777" w:rsidR="004F7D31" w:rsidRDefault="002860A8">
            <w:pPr>
              <w:spacing w:after="0"/>
            </w:pPr>
            <w:r>
              <w:rPr>
                <w:b/>
                <w:color w:val="FFFFFF"/>
                <w:sz w:val="18"/>
              </w:rPr>
              <w:t>Field</w:t>
            </w:r>
          </w:p>
        </w:tc>
        <w:tc>
          <w:tcPr>
            <w:tcW w:w="7488" w:type="dxa"/>
            <w:shd w:val="clear" w:color="auto" w:fill="152342"/>
            <w:vAlign w:val="center"/>
          </w:tcPr>
          <w:p w14:paraId="00FA5F01" w14:textId="77777777" w:rsidR="004F7D31" w:rsidRDefault="002860A8">
            <w:pPr>
              <w:spacing w:after="0"/>
            </w:pPr>
            <w:r>
              <w:rPr>
                <w:b/>
                <w:color w:val="FFFFFF"/>
                <w:sz w:val="18"/>
              </w:rPr>
              <w:t>Acknowledgment</w:t>
            </w:r>
          </w:p>
        </w:tc>
      </w:tr>
      <w:tr w:rsidR="004F7D31" w14:paraId="6E147F35" w14:textId="77777777">
        <w:trPr>
          <w:jc w:val="center"/>
        </w:trPr>
        <w:tc>
          <w:tcPr>
            <w:tcW w:w="2880" w:type="dxa"/>
          </w:tcPr>
          <w:p w14:paraId="568021DC" w14:textId="77777777" w:rsidR="004F7D31" w:rsidRDefault="002860A8">
            <w:pPr>
              <w:spacing w:after="0"/>
            </w:pPr>
            <w:r>
              <w:rPr>
                <w:sz w:val="18"/>
              </w:rPr>
              <w:t>Employee name</w:t>
            </w:r>
          </w:p>
        </w:tc>
        <w:tc>
          <w:tcPr>
            <w:tcW w:w="7488" w:type="dxa"/>
          </w:tcPr>
          <w:p w14:paraId="0C9FEB59" w14:textId="77777777" w:rsidR="004F7D31" w:rsidRDefault="004F7D31">
            <w:pPr>
              <w:spacing w:after="0"/>
            </w:pPr>
          </w:p>
        </w:tc>
      </w:tr>
      <w:tr w:rsidR="004F7D31" w14:paraId="5F368C24" w14:textId="77777777">
        <w:trPr>
          <w:jc w:val="center"/>
        </w:trPr>
        <w:tc>
          <w:tcPr>
            <w:tcW w:w="2880" w:type="dxa"/>
          </w:tcPr>
          <w:p w14:paraId="23611834" w14:textId="77777777" w:rsidR="004F7D31" w:rsidRDefault="002860A8">
            <w:pPr>
              <w:spacing w:after="0"/>
            </w:pPr>
            <w:r>
              <w:rPr>
                <w:sz w:val="18"/>
              </w:rPr>
              <w:t>Signature</w:t>
            </w:r>
          </w:p>
        </w:tc>
        <w:tc>
          <w:tcPr>
            <w:tcW w:w="7488" w:type="dxa"/>
          </w:tcPr>
          <w:p w14:paraId="5EEA57C8" w14:textId="77777777" w:rsidR="004F7D31" w:rsidRDefault="004F7D31">
            <w:pPr>
              <w:spacing w:after="0"/>
            </w:pPr>
          </w:p>
        </w:tc>
      </w:tr>
      <w:tr w:rsidR="004F7D31" w14:paraId="3061BA03" w14:textId="77777777">
        <w:trPr>
          <w:jc w:val="center"/>
        </w:trPr>
        <w:tc>
          <w:tcPr>
            <w:tcW w:w="2880" w:type="dxa"/>
          </w:tcPr>
          <w:p w14:paraId="4AAB1DEA" w14:textId="77777777" w:rsidR="004F7D31" w:rsidRDefault="002860A8">
            <w:pPr>
              <w:spacing w:after="0"/>
            </w:pPr>
            <w:r>
              <w:rPr>
                <w:sz w:val="18"/>
              </w:rPr>
              <w:t>Date</w:t>
            </w:r>
          </w:p>
        </w:tc>
        <w:tc>
          <w:tcPr>
            <w:tcW w:w="7488" w:type="dxa"/>
          </w:tcPr>
          <w:p w14:paraId="21A775DF" w14:textId="77777777" w:rsidR="004F7D31" w:rsidRDefault="004F7D31">
            <w:pPr>
              <w:spacing w:after="0"/>
            </w:pPr>
          </w:p>
        </w:tc>
      </w:tr>
      <w:tr w:rsidR="004F7D31" w14:paraId="6C3CE8D2" w14:textId="77777777">
        <w:trPr>
          <w:jc w:val="center"/>
        </w:trPr>
        <w:tc>
          <w:tcPr>
            <w:tcW w:w="2880" w:type="dxa"/>
          </w:tcPr>
          <w:p w14:paraId="3029E24D" w14:textId="77777777" w:rsidR="004F7D31" w:rsidRDefault="002860A8">
            <w:pPr>
              <w:spacing w:after="0"/>
            </w:pPr>
            <w:r>
              <w:rPr>
                <w:sz w:val="18"/>
              </w:rPr>
              <w:t>Manager</w:t>
            </w:r>
          </w:p>
        </w:tc>
        <w:tc>
          <w:tcPr>
            <w:tcW w:w="7488" w:type="dxa"/>
          </w:tcPr>
          <w:p w14:paraId="51DB7C50" w14:textId="77777777" w:rsidR="004F7D31" w:rsidRDefault="004F7D31">
            <w:pPr>
              <w:spacing w:after="0"/>
            </w:pPr>
          </w:p>
        </w:tc>
      </w:tr>
    </w:tbl>
    <w:p w14:paraId="77BC9F5F" w14:textId="77777777" w:rsidR="004F7D31" w:rsidRDefault="004F7D31"/>
    <w:p w14:paraId="35683813" w14:textId="704FDE97" w:rsidR="003947BA" w:rsidRPr="003947BA" w:rsidRDefault="003947BA" w:rsidP="003947BA"/>
    <w:sectPr w:rsidR="003947BA" w:rsidRPr="003947BA" w:rsidSect="00034616">
      <w:footerReference w:type="default" r:id="rId9"/>
      <w:pgSz w:w="12240" w:h="15840"/>
      <w:pgMar w:top="1080" w:right="1224" w:bottom="108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61AF" w14:textId="77777777" w:rsidR="00ED2894" w:rsidRDefault="00ED2894">
      <w:pPr>
        <w:spacing w:after="0" w:line="240" w:lineRule="auto"/>
      </w:pPr>
      <w:r>
        <w:separator/>
      </w:r>
    </w:p>
  </w:endnote>
  <w:endnote w:type="continuationSeparator" w:id="0">
    <w:p w14:paraId="5B265531" w14:textId="77777777" w:rsidR="00ED2894" w:rsidRDefault="00ED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63213"/>
      <w:docPartObj>
        <w:docPartGallery w:val="Page Numbers (Bottom of Page)"/>
        <w:docPartUnique/>
      </w:docPartObj>
    </w:sdtPr>
    <w:sdtEndPr>
      <w:rPr>
        <w:noProof/>
      </w:rPr>
    </w:sdtEndPr>
    <w:sdtContent>
      <w:p w14:paraId="2BBD00F1" w14:textId="5F8ED711" w:rsidR="00B810C8" w:rsidRDefault="00B810C8">
        <w:pPr>
          <w:pStyle w:val="Footer"/>
        </w:pPr>
        <w:r>
          <w:fldChar w:fldCharType="begin"/>
        </w:r>
        <w:r>
          <w:instrText xml:space="preserve"> PAGE   \* MERGEFORMAT </w:instrText>
        </w:r>
        <w:r>
          <w:fldChar w:fldCharType="separate"/>
        </w:r>
        <w:r>
          <w:rPr>
            <w:noProof/>
          </w:rPr>
          <w:t>2</w:t>
        </w:r>
        <w:r>
          <w:rPr>
            <w:noProof/>
          </w:rPr>
          <w:fldChar w:fldCharType="end"/>
        </w:r>
      </w:p>
    </w:sdtContent>
  </w:sdt>
  <w:p w14:paraId="1836F422" w14:textId="19DBCFD3" w:rsidR="004F7D31" w:rsidRDefault="004F7D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2B88" w14:textId="77777777" w:rsidR="00ED2894" w:rsidRDefault="00ED2894">
      <w:pPr>
        <w:spacing w:after="0" w:line="240" w:lineRule="auto"/>
      </w:pPr>
      <w:r>
        <w:separator/>
      </w:r>
    </w:p>
  </w:footnote>
  <w:footnote w:type="continuationSeparator" w:id="0">
    <w:p w14:paraId="58CEA262" w14:textId="77777777" w:rsidR="00ED2894" w:rsidRDefault="00ED2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0A53C5"/>
    <w:multiLevelType w:val="hybridMultilevel"/>
    <w:tmpl w:val="C69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944837">
    <w:abstractNumId w:val="8"/>
  </w:num>
  <w:num w:numId="2" w16cid:durableId="1533347870">
    <w:abstractNumId w:val="6"/>
  </w:num>
  <w:num w:numId="3" w16cid:durableId="1059859134">
    <w:abstractNumId w:val="5"/>
  </w:num>
  <w:num w:numId="4" w16cid:durableId="149493059">
    <w:abstractNumId w:val="4"/>
  </w:num>
  <w:num w:numId="5" w16cid:durableId="911353547">
    <w:abstractNumId w:val="7"/>
  </w:num>
  <w:num w:numId="6" w16cid:durableId="2113016150">
    <w:abstractNumId w:val="3"/>
  </w:num>
  <w:num w:numId="7" w16cid:durableId="1624000132">
    <w:abstractNumId w:val="2"/>
  </w:num>
  <w:num w:numId="8" w16cid:durableId="1575236879">
    <w:abstractNumId w:val="1"/>
  </w:num>
  <w:num w:numId="9" w16cid:durableId="200015992">
    <w:abstractNumId w:val="0"/>
  </w:num>
  <w:num w:numId="10" w16cid:durableId="1013148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60A8"/>
    <w:rsid w:val="0029639D"/>
    <w:rsid w:val="002E22A9"/>
    <w:rsid w:val="00322A12"/>
    <w:rsid w:val="00326F90"/>
    <w:rsid w:val="003512F0"/>
    <w:rsid w:val="003947BA"/>
    <w:rsid w:val="004F7D31"/>
    <w:rsid w:val="005C7E11"/>
    <w:rsid w:val="00671DBA"/>
    <w:rsid w:val="006B6984"/>
    <w:rsid w:val="00713CF0"/>
    <w:rsid w:val="00742784"/>
    <w:rsid w:val="00895CD3"/>
    <w:rsid w:val="009B3289"/>
    <w:rsid w:val="00A44693"/>
    <w:rsid w:val="00A56E18"/>
    <w:rsid w:val="00AA1D8D"/>
    <w:rsid w:val="00B25C1A"/>
    <w:rsid w:val="00B47730"/>
    <w:rsid w:val="00B810C8"/>
    <w:rsid w:val="00BF4FE0"/>
    <w:rsid w:val="00BF7E0A"/>
    <w:rsid w:val="00C82D4D"/>
    <w:rsid w:val="00CA7522"/>
    <w:rsid w:val="00CB0664"/>
    <w:rsid w:val="00CB4666"/>
    <w:rsid w:val="00CC7326"/>
    <w:rsid w:val="00CF4036"/>
    <w:rsid w:val="00D06409"/>
    <w:rsid w:val="00E02D9C"/>
    <w:rsid w:val="00E86DAF"/>
    <w:rsid w:val="00ED2894"/>
    <w:rsid w:val="00EF0F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56CFA9"/>
  <w14:defaultImageDpi w14:val="300"/>
  <w15:docId w15:val="{20639883-555E-4D7C-B8E6-89DCA8E0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ptos" w:hAnsi="Aptos"/>
      <w:sz w:val="21"/>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152342"/>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152342"/>
      <w:sz w:val="26"/>
      <w:szCs w:val="26"/>
    </w:rPr>
  </w:style>
  <w:style w:type="paragraph" w:styleId="Heading3">
    <w:name w:val="heading 3"/>
    <w:basedOn w:val="Normal"/>
    <w:next w:val="Normal"/>
    <w:link w:val="Heading3Char"/>
    <w:uiPriority w:val="9"/>
    <w:unhideWhenUsed/>
    <w:qFormat/>
    <w:rsid w:val="00FC693F"/>
    <w:pPr>
      <w:keepNext/>
      <w:keepLines/>
      <w:spacing w:before="240"/>
      <w:outlineLvl w:val="2"/>
    </w:pPr>
    <w:rPr>
      <w:rFonts w:asciiTheme="majorHAnsi" w:eastAsiaTheme="majorEastAsia" w:hAnsiTheme="majorHAnsi" w:cstheme="majorBidi"/>
      <w:b/>
      <w:bCs/>
      <w:color w:val="152342"/>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52342"/>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B810C8"/>
    <w:pPr>
      <w:spacing w:after="100"/>
    </w:pPr>
  </w:style>
  <w:style w:type="character" w:styleId="Hyperlink">
    <w:name w:val="Hyperlink"/>
    <w:basedOn w:val="DefaultParagraphFont"/>
    <w:uiPriority w:val="99"/>
    <w:unhideWhenUsed/>
    <w:rsid w:val="00B81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gner@nae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3009</Words>
  <Characters>18568</Characters>
  <Application>Microsoft Office Word</Application>
  <DocSecurity>0</DocSecurity>
  <Lines>395</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Scott Wagner</cp:lastModifiedBy>
  <cp:revision>24</cp:revision>
  <dcterms:created xsi:type="dcterms:W3CDTF">2013-12-23T23:15:00Z</dcterms:created>
  <dcterms:modified xsi:type="dcterms:W3CDTF">2026-06-24T18:06:00Z</dcterms:modified>
  <cp:category/>
</cp:coreProperties>
</file>